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C89D8" w14:textId="71608C8B" w:rsidR="009D71E8" w:rsidRDefault="009D71E8" w:rsidP="1DDAF2B9">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B2DA374" w:rsidR="00E66558" w:rsidRDefault="009D71E8">
      <w:pPr>
        <w:pStyle w:val="Heading2"/>
        <w:rPr>
          <w:b w:val="0"/>
          <w:bCs/>
          <w:color w:val="auto"/>
          <w:sz w:val="24"/>
          <w:szCs w:val="24"/>
        </w:rPr>
      </w:pPr>
      <w:r>
        <w:rPr>
          <w:b w:val="0"/>
          <w:bCs/>
          <w:color w:val="auto"/>
          <w:sz w:val="24"/>
          <w:szCs w:val="24"/>
        </w:rPr>
        <w:t>This statement details our school</w:t>
      </w:r>
      <w:r w:rsidR="008A27FF">
        <w:rPr>
          <w:b w:val="0"/>
          <w:bCs/>
          <w:color w:val="auto"/>
          <w:sz w:val="24"/>
          <w:szCs w:val="24"/>
        </w:rPr>
        <w:t xml:space="preserve"> trust</w:t>
      </w:r>
      <w:r>
        <w:rPr>
          <w:b w:val="0"/>
          <w:bCs/>
          <w:color w:val="auto"/>
          <w:sz w:val="24"/>
          <w:szCs w:val="24"/>
        </w:rPr>
        <w:t xml:space="preserve"> use of pupil premium (and recovery premium for the 202</w:t>
      </w:r>
      <w:r w:rsidR="001D519C">
        <w:rPr>
          <w:b w:val="0"/>
          <w:bCs/>
          <w:color w:val="auto"/>
          <w:sz w:val="24"/>
          <w:szCs w:val="24"/>
        </w:rPr>
        <w:t>3</w:t>
      </w:r>
      <w:r>
        <w:rPr>
          <w:b w:val="0"/>
          <w:bCs/>
          <w:color w:val="auto"/>
          <w:sz w:val="24"/>
          <w:szCs w:val="24"/>
        </w:rPr>
        <w:t xml:space="preserve"> to 202</w:t>
      </w:r>
      <w:r w:rsidR="001D519C">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4EE03878" w:rsidR="00E66558" w:rsidRDefault="009D71E8">
      <w:pPr>
        <w:pStyle w:val="Heading2"/>
        <w:spacing w:before="240"/>
        <w:rPr>
          <w:b w:val="0"/>
          <w:bCs/>
          <w:color w:val="auto"/>
          <w:sz w:val="24"/>
          <w:szCs w:val="24"/>
        </w:rPr>
      </w:pPr>
      <w:r>
        <w:rPr>
          <w:b w:val="0"/>
          <w:bCs/>
          <w:color w:val="auto"/>
          <w:sz w:val="24"/>
          <w:szCs w:val="24"/>
        </w:rPr>
        <w:t>It outlines our pupil premium strategy, how we intend to spend the funding in this academic year the effect that last year’s spending of pupil premium had within our school</w:t>
      </w:r>
      <w:r w:rsidR="008A27FF">
        <w:rPr>
          <w:b w:val="0"/>
          <w:bCs/>
          <w:color w:val="auto"/>
          <w:sz w:val="24"/>
          <w:szCs w:val="24"/>
        </w:rPr>
        <w:t xml:space="preserve"> trust</w:t>
      </w:r>
      <w:r>
        <w:rPr>
          <w:b w:val="0"/>
          <w:bCs/>
          <w:color w:val="auto"/>
          <w:sz w:val="24"/>
          <w:szCs w:val="24"/>
        </w:rPr>
        <w:t xml:space="preserve"> </w:t>
      </w:r>
      <w:r w:rsidR="00D23662">
        <w:rPr>
          <w:b w:val="0"/>
          <w:bCs/>
          <w:color w:val="auto"/>
          <w:sz w:val="24"/>
          <w:szCs w:val="24"/>
        </w:rPr>
        <w:t>is held on the individual websites of each of the individual schools within the Trust. 2021</w:t>
      </w:r>
      <w:r w:rsidR="001D519C">
        <w:rPr>
          <w:b w:val="0"/>
          <w:bCs/>
          <w:color w:val="auto"/>
          <w:sz w:val="24"/>
          <w:szCs w:val="24"/>
        </w:rPr>
        <w:t>-2024</w:t>
      </w:r>
      <w:r w:rsidR="00D23662">
        <w:rPr>
          <w:b w:val="0"/>
          <w:bCs/>
          <w:color w:val="auto"/>
          <w:sz w:val="24"/>
          <w:szCs w:val="24"/>
        </w:rPr>
        <w:t xml:space="preserve"> is the first year we have </w:t>
      </w:r>
      <w:r w:rsidR="00661370">
        <w:rPr>
          <w:b w:val="0"/>
          <w:bCs/>
          <w:color w:val="auto"/>
          <w:sz w:val="24"/>
          <w:szCs w:val="24"/>
        </w:rPr>
        <w:t>written a one school trust pupil premium strategy statement.</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8E314AF" w:rsidR="00E66558" w:rsidRDefault="009D71E8">
            <w:pPr>
              <w:pStyle w:val="TableRow"/>
            </w:pPr>
            <w:r>
              <w:t xml:space="preserve">School </w:t>
            </w:r>
            <w:r w:rsidR="00374DA0">
              <w:t xml:space="preserve">Trust </w:t>
            </w:r>
            <w:r>
              <w:t>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5F293B8" w:rsidR="00E66558" w:rsidRDefault="00374DA0">
            <w:pPr>
              <w:pStyle w:val="TableRow"/>
            </w:pPr>
            <w:r>
              <w:t>Learning Academy Partnership</w:t>
            </w:r>
          </w:p>
        </w:tc>
      </w:tr>
      <w:tr w:rsidR="00832203" w14:paraId="2A7D54BD"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832203" w:rsidRDefault="00832203" w:rsidP="0083220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652BEBA" w:rsidR="00832203" w:rsidRDefault="00832203" w:rsidP="00832203">
            <w:pPr>
              <w:pStyle w:val="TableRow"/>
            </w:pPr>
            <w:r>
              <w:rPr>
                <w:rStyle w:val="normaltextrun"/>
                <w:rFonts w:cs="Arial"/>
              </w:rPr>
              <w:t>2022</w:t>
            </w:r>
            <w:r>
              <w:rPr>
                <w:rStyle w:val="eop"/>
                <w:rFonts w:cs="Arial"/>
              </w:rPr>
              <w:t> </w:t>
            </w:r>
          </w:p>
        </w:tc>
      </w:tr>
      <w:tr w:rsidR="00832203" w14:paraId="2A7D54C0"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832203" w:rsidRDefault="00832203" w:rsidP="0083220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3C8EEC0" w:rsidR="00832203" w:rsidRDefault="00832203" w:rsidP="00832203">
            <w:pPr>
              <w:pStyle w:val="TableRow"/>
            </w:pPr>
            <w:r>
              <w:rPr>
                <w:rStyle w:val="normaltextrun"/>
                <w:rFonts w:cs="Arial"/>
              </w:rPr>
              <w:t>28.8%</w:t>
            </w:r>
            <w:r>
              <w:rPr>
                <w:rStyle w:val="eop"/>
                <w:rFonts w:cs="Arial"/>
              </w:rPr>
              <w:t> </w:t>
            </w:r>
          </w:p>
        </w:tc>
      </w:tr>
      <w:tr w:rsidR="00832203" w14:paraId="2A7D54C3"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8C52A95" w:rsidR="00832203" w:rsidRDefault="00832203" w:rsidP="00832203">
            <w:pPr>
              <w:pStyle w:val="TableRow"/>
              <w:rPr>
                <w:b/>
                <w:bCs/>
              </w:rPr>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527C3A4" w:rsidR="00832203" w:rsidRDefault="00832203" w:rsidP="00832203">
            <w:pPr>
              <w:pStyle w:val="TableRow"/>
            </w:pPr>
            <w:r>
              <w:rPr>
                <w:rStyle w:val="normaltextrun"/>
                <w:rFonts w:cs="Arial"/>
              </w:rPr>
              <w:t>2021-2024</w:t>
            </w:r>
            <w:r>
              <w:rPr>
                <w:rStyle w:val="eop"/>
                <w:rFonts w:cs="Arial"/>
              </w:rPr>
              <w:t> </w:t>
            </w:r>
          </w:p>
        </w:tc>
      </w:tr>
      <w:tr w:rsidR="00832203" w14:paraId="2A7D54C6"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832203" w:rsidRDefault="00832203" w:rsidP="0083220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408141E" w:rsidR="00832203" w:rsidRDefault="00832203" w:rsidP="00832203">
            <w:pPr>
              <w:pStyle w:val="TableRow"/>
            </w:pPr>
            <w:r>
              <w:rPr>
                <w:rStyle w:val="normaltextrun"/>
                <w:rFonts w:cs="Arial"/>
              </w:rPr>
              <w:t>1</w:t>
            </w:r>
            <w:r>
              <w:rPr>
                <w:rStyle w:val="normaltextrun"/>
                <w:rFonts w:cs="Arial"/>
                <w:sz w:val="19"/>
                <w:szCs w:val="19"/>
                <w:vertAlign w:val="superscript"/>
              </w:rPr>
              <w:t>st</w:t>
            </w:r>
            <w:r>
              <w:rPr>
                <w:rStyle w:val="normaltextrun"/>
                <w:rFonts w:cs="Arial"/>
              </w:rPr>
              <w:t xml:space="preserve"> December 2022</w:t>
            </w:r>
            <w:r>
              <w:rPr>
                <w:rStyle w:val="eop"/>
                <w:rFonts w:cs="Arial"/>
              </w:rPr>
              <w:t> </w:t>
            </w:r>
          </w:p>
        </w:tc>
      </w:tr>
      <w:tr w:rsidR="00832203" w14:paraId="2A7D54C9"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832203" w:rsidRDefault="00832203" w:rsidP="0083220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51F9CAE" w:rsidR="00832203" w:rsidRDefault="00832203" w:rsidP="00832203">
            <w:pPr>
              <w:pStyle w:val="TableRow"/>
            </w:pPr>
            <w:r>
              <w:rPr>
                <w:rStyle w:val="normaltextrun"/>
                <w:rFonts w:cs="Arial"/>
              </w:rPr>
              <w:t>1</w:t>
            </w:r>
            <w:r>
              <w:rPr>
                <w:rStyle w:val="normaltextrun"/>
                <w:rFonts w:cs="Arial"/>
                <w:sz w:val="19"/>
                <w:szCs w:val="19"/>
                <w:vertAlign w:val="superscript"/>
              </w:rPr>
              <w:t>st</w:t>
            </w:r>
            <w:r>
              <w:rPr>
                <w:rStyle w:val="normaltextrun"/>
                <w:rFonts w:cs="Arial"/>
              </w:rPr>
              <w:t xml:space="preserve"> December 2023 and 1</w:t>
            </w:r>
            <w:r>
              <w:rPr>
                <w:rStyle w:val="normaltextrun"/>
                <w:rFonts w:cs="Arial"/>
                <w:sz w:val="19"/>
                <w:szCs w:val="19"/>
                <w:vertAlign w:val="superscript"/>
              </w:rPr>
              <w:t>st</w:t>
            </w:r>
            <w:r>
              <w:rPr>
                <w:rStyle w:val="normaltextrun"/>
                <w:rFonts w:cs="Arial"/>
              </w:rPr>
              <w:t xml:space="preserve"> Dec 2024 </w:t>
            </w:r>
            <w:r>
              <w:rPr>
                <w:rStyle w:val="normaltextrun"/>
                <w:rFonts w:cs="Arial"/>
                <w:sz w:val="18"/>
                <w:szCs w:val="18"/>
              </w:rPr>
              <w:t>(completed on individual websites. Next review 1</w:t>
            </w:r>
            <w:r>
              <w:rPr>
                <w:rStyle w:val="normaltextrun"/>
                <w:rFonts w:cs="Arial"/>
                <w:sz w:val="14"/>
                <w:szCs w:val="14"/>
                <w:vertAlign w:val="superscript"/>
              </w:rPr>
              <w:t>st</w:t>
            </w:r>
            <w:r>
              <w:rPr>
                <w:rStyle w:val="normaltextrun"/>
                <w:rFonts w:cs="Arial"/>
                <w:sz w:val="18"/>
                <w:szCs w:val="18"/>
              </w:rPr>
              <w:t xml:space="preserve"> December 2024)</w:t>
            </w:r>
            <w:r>
              <w:rPr>
                <w:rStyle w:val="eop"/>
                <w:rFonts w:cs="Arial"/>
                <w:sz w:val="18"/>
                <w:szCs w:val="18"/>
              </w:rPr>
              <w:t> </w:t>
            </w:r>
          </w:p>
        </w:tc>
      </w:tr>
      <w:tr w:rsidR="00832203" w14:paraId="2A7D54CC"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832203" w:rsidRDefault="00832203" w:rsidP="0083220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8EC5817" w:rsidR="00832203" w:rsidRDefault="00832203" w:rsidP="00832203">
            <w:pPr>
              <w:pStyle w:val="TableRow"/>
            </w:pPr>
            <w:r>
              <w:rPr>
                <w:rStyle w:val="normaltextrun"/>
                <w:rFonts w:cs="Arial"/>
              </w:rPr>
              <w:t>Tracey Cleverly</w:t>
            </w:r>
            <w:r>
              <w:rPr>
                <w:rStyle w:val="eop"/>
                <w:rFonts w:cs="Arial"/>
              </w:rPr>
              <w:t> </w:t>
            </w:r>
          </w:p>
        </w:tc>
      </w:tr>
      <w:tr w:rsidR="00832203" w14:paraId="2A7D54CF"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832203" w:rsidRDefault="00832203" w:rsidP="0083220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9CB8E33" w:rsidR="00832203" w:rsidRDefault="00832203" w:rsidP="00832203">
            <w:pPr>
              <w:pStyle w:val="TableRow"/>
            </w:pPr>
            <w:r>
              <w:rPr>
                <w:rStyle w:val="normaltextrun"/>
                <w:rFonts w:cs="Arial"/>
              </w:rPr>
              <w:t>Evie Semmens</w:t>
            </w:r>
            <w:r>
              <w:rPr>
                <w:rStyle w:val="eop"/>
                <w:rFonts w:cs="Arial"/>
              </w:rPr>
              <w:t> </w:t>
            </w:r>
          </w:p>
        </w:tc>
      </w:tr>
      <w:tr w:rsidR="00832203" w14:paraId="2A7D54D2" w14:textId="77777777" w:rsidTr="73BD544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832203" w:rsidRDefault="00832203" w:rsidP="0083220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A4AE266" w:rsidR="00832203" w:rsidRDefault="00B232D9" w:rsidP="00832203">
            <w:pPr>
              <w:pStyle w:val="TableRow"/>
            </w:pPr>
            <w:r>
              <w:rPr>
                <w:rStyle w:val="normaltextrun"/>
              </w:rPr>
              <w:t>Jo Tisdall</w:t>
            </w:r>
            <w:r w:rsidR="00832203">
              <w:rPr>
                <w:rStyle w:val="eop"/>
                <w:rFonts w:cs="Arial"/>
              </w:rPr>
              <w:t>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440B16A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4F4F5C79" w:rsidR="00E66558" w:rsidRDefault="1AEAA58A">
            <w:pPr>
              <w:pStyle w:val="TableRow"/>
            </w:pPr>
            <w:r w:rsidRPr="1AEAA58A">
              <w:rPr>
                <w:b/>
                <w:bCs/>
              </w:rPr>
              <w:t>Amount</w:t>
            </w:r>
          </w:p>
        </w:tc>
      </w:tr>
      <w:tr w:rsidR="00832203" w14:paraId="2A7D54D9" w14:textId="77777777" w:rsidTr="440B16A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832203" w:rsidRDefault="00832203" w:rsidP="00832203">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702AB7F" w:rsidR="00832203" w:rsidRDefault="00832203" w:rsidP="00832203">
            <w:pPr>
              <w:pStyle w:val="TableRow"/>
            </w:pPr>
            <w:r>
              <w:rPr>
                <w:rStyle w:val="normaltextrun"/>
                <w:rFonts w:cs="Arial"/>
              </w:rPr>
              <w:t>£642,640</w:t>
            </w:r>
            <w:r>
              <w:rPr>
                <w:rStyle w:val="eop"/>
                <w:rFonts w:cs="Arial"/>
              </w:rPr>
              <w:t> </w:t>
            </w:r>
          </w:p>
        </w:tc>
      </w:tr>
      <w:tr w:rsidR="00832203" w14:paraId="2A7D54DC" w14:textId="77777777" w:rsidTr="440B16A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832203" w:rsidRDefault="00832203" w:rsidP="00832203">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BE6B222" w:rsidR="00832203" w:rsidRDefault="00832203" w:rsidP="00832203">
            <w:pPr>
              <w:pStyle w:val="TableRow"/>
            </w:pPr>
            <w:r>
              <w:rPr>
                <w:rStyle w:val="normaltextrun"/>
                <w:rFonts w:cs="Arial"/>
              </w:rPr>
              <w:t>£75,770</w:t>
            </w:r>
            <w:r>
              <w:rPr>
                <w:rStyle w:val="eop"/>
                <w:rFonts w:cs="Arial"/>
              </w:rPr>
              <w:t> </w:t>
            </w:r>
          </w:p>
        </w:tc>
      </w:tr>
      <w:tr w:rsidR="00832203" w14:paraId="2A7D54DF" w14:textId="77777777" w:rsidTr="440B16A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832203" w:rsidRDefault="00832203" w:rsidP="00832203">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563AF31" w:rsidR="00832203" w:rsidRDefault="00832203" w:rsidP="00832203">
            <w:pPr>
              <w:pStyle w:val="TableRow"/>
            </w:pPr>
            <w:r>
              <w:rPr>
                <w:rStyle w:val="normaltextrun"/>
                <w:rFonts w:cs="Arial"/>
              </w:rPr>
              <w:t>£0.00</w:t>
            </w:r>
            <w:r>
              <w:rPr>
                <w:rStyle w:val="eop"/>
                <w:rFonts w:cs="Arial"/>
              </w:rPr>
              <w:t> </w:t>
            </w:r>
          </w:p>
        </w:tc>
      </w:tr>
      <w:tr w:rsidR="00832203" w14:paraId="2A7D54E3" w14:textId="77777777" w:rsidTr="440B16A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832203" w:rsidRDefault="00832203" w:rsidP="00832203">
            <w:pPr>
              <w:pStyle w:val="TableRow"/>
              <w:rPr>
                <w:b/>
              </w:rPr>
            </w:pPr>
            <w:r>
              <w:rPr>
                <w:b/>
              </w:rPr>
              <w:t>Total budget for this academic year</w:t>
            </w:r>
          </w:p>
          <w:p w14:paraId="2A7D54E1" w14:textId="77777777" w:rsidR="00832203" w:rsidRDefault="00832203" w:rsidP="00832203">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6580C52" w:rsidR="00832203" w:rsidRDefault="00832203" w:rsidP="00832203">
            <w:pPr>
              <w:pStyle w:val="TableRow"/>
              <w:rPr>
                <w:highlight w:val="yellow"/>
              </w:rPr>
            </w:pPr>
            <w:r>
              <w:rPr>
                <w:rStyle w:val="normaltextrun"/>
                <w:rFonts w:cs="Arial"/>
              </w:rPr>
              <w:t>£718,410</w:t>
            </w:r>
            <w:r>
              <w:rPr>
                <w:rStyle w:val="eop"/>
                <w:rFonts w:cs="Arial"/>
              </w:rPr>
              <w:t> </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4991370F">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1FEC0" w14:textId="468CA81C" w:rsidR="00577240" w:rsidRPr="00A1206F" w:rsidRDefault="33202E23" w:rsidP="23622E9C">
            <w:pPr>
              <w:pStyle w:val="ListParagraph"/>
              <w:numPr>
                <w:ilvl w:val="0"/>
                <w:numId w:val="0"/>
              </w:numPr>
              <w:rPr>
                <w:i/>
                <w:iCs/>
              </w:rPr>
            </w:pPr>
            <w:r w:rsidRPr="23622E9C">
              <w:rPr>
                <w:i/>
                <w:iCs/>
              </w:rPr>
              <w:t>Our School Trust is committed to ensuring that every disadvantaged pupil receives the best possible education and that gaps in outcomes are closed in all key outcomes. We want our disadvantaged pupils</w:t>
            </w:r>
            <w:r w:rsidR="2518E150" w:rsidRPr="23622E9C">
              <w:rPr>
                <w:i/>
                <w:iCs/>
              </w:rPr>
              <w:t xml:space="preserve"> to flourish in all aspects of their education.</w:t>
            </w:r>
            <w:r w:rsidR="4E085CD6" w:rsidRPr="23622E9C">
              <w:rPr>
                <w:i/>
                <w:iCs/>
              </w:rPr>
              <w:t xml:space="preserve"> The disruption children and young people have faced to their education during the pandemic has been extensive nationally and will likely have profound consequences. Attainment and educational progress particularly for those disadvantaged has been affected, but so too has their emotional and social dev</w:t>
            </w:r>
            <w:r w:rsidR="79314625" w:rsidRPr="23622E9C">
              <w:rPr>
                <w:i/>
                <w:iCs/>
              </w:rPr>
              <w:t>e</w:t>
            </w:r>
            <w:r w:rsidR="4E085CD6" w:rsidRPr="23622E9C">
              <w:rPr>
                <w:i/>
                <w:iCs/>
              </w:rPr>
              <w:t>lopment.</w:t>
            </w:r>
            <w:r w:rsidR="196EB69C" w:rsidRPr="23622E9C">
              <w:rPr>
                <w:i/>
                <w:iCs/>
              </w:rPr>
              <w:t xml:space="preserve"> </w:t>
            </w:r>
          </w:p>
          <w:p w14:paraId="6E49DE75" w14:textId="4A15E2F2" w:rsidR="00A1206F" w:rsidRPr="00003054" w:rsidRDefault="79314625" w:rsidP="23622E9C">
            <w:pPr>
              <w:rPr>
                <w:i/>
                <w:iCs/>
              </w:rPr>
            </w:pPr>
            <w:r w:rsidRPr="23622E9C">
              <w:rPr>
                <w:i/>
                <w:iCs/>
              </w:rPr>
              <w:t>This</w:t>
            </w:r>
            <w:r w:rsidR="009D71E8" w:rsidRPr="23622E9C">
              <w:rPr>
                <w:i/>
                <w:iCs/>
              </w:rPr>
              <w:t xml:space="preserve"> pupil premium strategy plan </w:t>
            </w:r>
            <w:r w:rsidRPr="23622E9C">
              <w:rPr>
                <w:i/>
                <w:iCs/>
              </w:rPr>
              <w:t>aims to close the considerable gaps in attainment as a result of the pandemic and mitigate the im</w:t>
            </w:r>
            <w:r w:rsidR="1D5CE7DB" w:rsidRPr="23622E9C">
              <w:rPr>
                <w:i/>
                <w:iCs/>
              </w:rPr>
              <w:t>pact of the pandemic on children’s lives.</w:t>
            </w:r>
          </w:p>
          <w:p w14:paraId="743D6355" w14:textId="56707D3B" w:rsidR="00662803" w:rsidRPr="004344DD" w:rsidRDefault="28B68F0E" w:rsidP="4991370F">
            <w:pPr>
              <w:rPr>
                <w:i/>
                <w:iCs/>
              </w:rPr>
            </w:pPr>
            <w:r w:rsidRPr="4991370F">
              <w:rPr>
                <w:i/>
                <w:iCs/>
              </w:rPr>
              <w:t>T</w:t>
            </w:r>
            <w:r w:rsidR="009D71E8" w:rsidRPr="4991370F">
              <w:rPr>
                <w:i/>
                <w:iCs/>
              </w:rPr>
              <w:t xml:space="preserve">he key principles of </w:t>
            </w:r>
            <w:r w:rsidRPr="4991370F">
              <w:rPr>
                <w:i/>
                <w:iCs/>
              </w:rPr>
              <w:t>this</w:t>
            </w:r>
            <w:r w:rsidR="009D71E8" w:rsidRPr="4991370F">
              <w:rPr>
                <w:i/>
                <w:iCs/>
              </w:rPr>
              <w:t xml:space="preserve"> strategy plan</w:t>
            </w:r>
            <w:r w:rsidRPr="4991370F">
              <w:rPr>
                <w:i/>
                <w:iCs/>
              </w:rPr>
              <w:t xml:space="preserve"> is to build sustainable</w:t>
            </w:r>
            <w:r w:rsidR="5CCDDCB7" w:rsidRPr="4991370F">
              <w:rPr>
                <w:i/>
                <w:iCs/>
              </w:rPr>
              <w:t xml:space="preserve">, </w:t>
            </w:r>
            <w:r w:rsidR="69496C25" w:rsidRPr="4991370F">
              <w:rPr>
                <w:i/>
                <w:iCs/>
              </w:rPr>
              <w:t>long-term</w:t>
            </w:r>
            <w:r w:rsidRPr="4991370F">
              <w:rPr>
                <w:i/>
                <w:iCs/>
              </w:rPr>
              <w:t xml:space="preserve"> </w:t>
            </w:r>
            <w:r w:rsidR="2CC4F5B1" w:rsidRPr="4991370F">
              <w:rPr>
                <w:i/>
                <w:iCs/>
              </w:rPr>
              <w:t xml:space="preserve">support </w:t>
            </w:r>
            <w:r w:rsidR="5226C28C" w:rsidRPr="4991370F">
              <w:rPr>
                <w:i/>
                <w:iCs/>
              </w:rPr>
              <w:t>in order to</w:t>
            </w:r>
            <w:r w:rsidR="2CC4F5B1" w:rsidRPr="4991370F">
              <w:rPr>
                <w:i/>
                <w:iCs/>
              </w:rPr>
              <w:t xml:space="preserve"> </w:t>
            </w:r>
            <w:r w:rsidR="5226C28C" w:rsidRPr="4991370F">
              <w:rPr>
                <w:i/>
                <w:iCs/>
              </w:rPr>
              <w:t>overcome</w:t>
            </w:r>
            <w:r w:rsidR="2CC4F5B1" w:rsidRPr="4991370F">
              <w:rPr>
                <w:i/>
                <w:iCs/>
              </w:rPr>
              <w:t xml:space="preserve"> the </w:t>
            </w:r>
            <w:r w:rsidR="5226C28C" w:rsidRPr="4991370F">
              <w:rPr>
                <w:i/>
                <w:iCs/>
              </w:rPr>
              <w:t>barriers of:</w:t>
            </w:r>
          </w:p>
          <w:p w14:paraId="28719089" w14:textId="035F0142" w:rsidR="00662803" w:rsidRDefault="5A363D6B" w:rsidP="6C98E978">
            <w:pPr>
              <w:pStyle w:val="ListParagraph"/>
              <w:numPr>
                <w:ilvl w:val="0"/>
                <w:numId w:val="13"/>
              </w:numPr>
              <w:rPr>
                <w:i/>
                <w:iCs/>
              </w:rPr>
            </w:pPr>
            <w:r w:rsidRPr="6C98E978">
              <w:rPr>
                <w:i/>
                <w:iCs/>
              </w:rPr>
              <w:t>Rebuilding a culture of good a</w:t>
            </w:r>
            <w:r w:rsidR="3DCF729B" w:rsidRPr="6C98E978">
              <w:rPr>
                <w:i/>
                <w:iCs/>
              </w:rPr>
              <w:t>ttendance</w:t>
            </w:r>
          </w:p>
          <w:p w14:paraId="45AB4898" w14:textId="352228C1" w:rsidR="00662803" w:rsidRDefault="5A363D6B" w:rsidP="6C98E978">
            <w:pPr>
              <w:pStyle w:val="ListParagraph"/>
              <w:numPr>
                <w:ilvl w:val="0"/>
                <w:numId w:val="13"/>
              </w:numPr>
              <w:rPr>
                <w:i/>
                <w:iCs/>
              </w:rPr>
            </w:pPr>
            <w:r w:rsidRPr="6C98E978">
              <w:rPr>
                <w:i/>
                <w:iCs/>
              </w:rPr>
              <w:t xml:space="preserve">Support for the increasing </w:t>
            </w:r>
            <w:r w:rsidR="3DCF729B" w:rsidRPr="6C98E978">
              <w:rPr>
                <w:i/>
                <w:iCs/>
              </w:rPr>
              <w:t>number of families going into crisis</w:t>
            </w:r>
          </w:p>
          <w:p w14:paraId="2A7D54E9" w14:textId="76145036" w:rsidR="00662803" w:rsidRDefault="3DCF729B" w:rsidP="6C98E978">
            <w:pPr>
              <w:pStyle w:val="ListParagraph"/>
              <w:numPr>
                <w:ilvl w:val="0"/>
                <w:numId w:val="13"/>
              </w:numPr>
              <w:rPr>
                <w:i/>
                <w:iCs/>
              </w:rPr>
            </w:pPr>
            <w:r w:rsidRPr="6C98E978">
              <w:rPr>
                <w:i/>
                <w:iCs/>
              </w:rPr>
              <w:t>Younger pupils (Early Years and KS1) and, in particular, Early Reading</w:t>
            </w:r>
          </w:p>
        </w:tc>
      </w:tr>
    </w:tbl>
    <w:p w14:paraId="2A7D54EB" w14:textId="77777777" w:rsidR="00E66558" w:rsidRDefault="009D71E8">
      <w:pPr>
        <w:pStyle w:val="Heading2"/>
        <w:spacing w:before="600"/>
      </w:pPr>
      <w:r>
        <w:t>Challenges</w:t>
      </w:r>
    </w:p>
    <w:p w14:paraId="2A7D54EC" w14:textId="3130E440"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r w:rsidR="00661370">
        <w:rPr>
          <w:color w:val="auto"/>
        </w:rPr>
        <w:t xml:space="preserve"> across our one school trust.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23622E9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23622E9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23CB13C" w:rsidR="00E66558" w:rsidRPr="00C0589C" w:rsidRDefault="007931D5">
            <w:pPr>
              <w:pStyle w:val="TableRowCentered"/>
              <w:jc w:val="left"/>
            </w:pPr>
            <w:r>
              <w:rPr>
                <w:sz w:val="22"/>
                <w:szCs w:val="22"/>
              </w:rPr>
              <w:t xml:space="preserve">Attendance rates have </w:t>
            </w:r>
            <w:r w:rsidR="00363528">
              <w:rPr>
                <w:sz w:val="22"/>
                <w:szCs w:val="22"/>
              </w:rPr>
              <w:t>fallen.</w:t>
            </w:r>
          </w:p>
        </w:tc>
      </w:tr>
      <w:tr w:rsidR="00E66558" w14:paraId="2A7D54F5" w14:textId="77777777" w:rsidTr="23622E9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136DC1E" w:rsidR="00E66558" w:rsidRPr="00C0589C" w:rsidRDefault="059885E4" w:rsidP="00C0589C">
            <w:pPr>
              <w:pStyle w:val="TableRowCentered"/>
              <w:ind w:left="0"/>
              <w:jc w:val="left"/>
              <w:rPr>
                <w:sz w:val="22"/>
                <w:szCs w:val="22"/>
              </w:rPr>
            </w:pPr>
            <w:r w:rsidRPr="23622E9C">
              <w:rPr>
                <w:sz w:val="22"/>
                <w:szCs w:val="22"/>
              </w:rPr>
              <w:t xml:space="preserve"> Gap has widened in</w:t>
            </w:r>
            <w:r w:rsidR="00363528">
              <w:rPr>
                <w:sz w:val="22"/>
                <w:szCs w:val="22"/>
              </w:rPr>
              <w:t xml:space="preserve"> all outcomes in</w:t>
            </w:r>
            <w:r w:rsidRPr="23622E9C">
              <w:rPr>
                <w:sz w:val="22"/>
                <w:szCs w:val="22"/>
              </w:rPr>
              <w:t xml:space="preserve"> early reading outcomes for</w:t>
            </w:r>
            <w:r w:rsidR="184F4BC7" w:rsidRPr="23622E9C">
              <w:rPr>
                <w:sz w:val="22"/>
                <w:szCs w:val="22"/>
              </w:rPr>
              <w:t xml:space="preserve"> eligible </w:t>
            </w:r>
            <w:r w:rsidRPr="23622E9C">
              <w:rPr>
                <w:sz w:val="22"/>
                <w:szCs w:val="22"/>
              </w:rPr>
              <w:t>pupils</w:t>
            </w:r>
          </w:p>
        </w:tc>
      </w:tr>
      <w:tr w:rsidR="23622E9C" w14:paraId="13686978" w14:textId="77777777" w:rsidTr="23622E9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51210" w14:textId="4A8F6A64" w:rsidR="37881CB6" w:rsidRDefault="37881CB6" w:rsidP="23622E9C">
            <w:pPr>
              <w:pStyle w:val="TableRow"/>
              <w:rPr>
                <w:sz w:val="22"/>
                <w:szCs w:val="22"/>
              </w:rPr>
            </w:pPr>
            <w:r w:rsidRPr="23622E9C">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ED01B" w14:textId="7FA02065" w:rsidR="37881CB6" w:rsidRDefault="37881CB6" w:rsidP="23622E9C">
            <w:pPr>
              <w:pStyle w:val="TableRowCentered"/>
              <w:jc w:val="left"/>
              <w:rPr>
                <w:sz w:val="22"/>
                <w:szCs w:val="22"/>
              </w:rPr>
            </w:pPr>
            <w:r w:rsidRPr="23622E9C">
              <w:rPr>
                <w:sz w:val="22"/>
                <w:szCs w:val="22"/>
              </w:rPr>
              <w:t xml:space="preserve">Gap has widened in Writing outcomes for eligible pupils </w:t>
            </w:r>
          </w:p>
        </w:tc>
      </w:tr>
      <w:tr w:rsidR="00E66558" w14:paraId="2A7D54F8" w14:textId="77777777" w:rsidTr="23622E9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5F271B35" w:rsidR="00E66558" w:rsidRDefault="37881CB6">
            <w:pPr>
              <w:pStyle w:val="TableRow"/>
              <w:rPr>
                <w:sz w:val="22"/>
                <w:szCs w:val="22"/>
              </w:rPr>
            </w:pPr>
            <w:r w:rsidRPr="23622E9C">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5C93CAFE" w:rsidR="00E66558" w:rsidRDefault="059885E4">
            <w:pPr>
              <w:pStyle w:val="TableRowCentered"/>
              <w:jc w:val="left"/>
              <w:rPr>
                <w:sz w:val="22"/>
                <w:szCs w:val="22"/>
              </w:rPr>
            </w:pPr>
            <w:r w:rsidRPr="23622E9C">
              <w:rPr>
                <w:sz w:val="22"/>
                <w:szCs w:val="22"/>
              </w:rPr>
              <w:t xml:space="preserve">Significant increase in the number of </w:t>
            </w:r>
            <w:r w:rsidR="1265E958" w:rsidRPr="23622E9C">
              <w:rPr>
                <w:sz w:val="22"/>
                <w:szCs w:val="22"/>
              </w:rPr>
              <w:t xml:space="preserve">eligible </w:t>
            </w:r>
            <w:r w:rsidRPr="23622E9C">
              <w:rPr>
                <w:sz w:val="22"/>
                <w:szCs w:val="22"/>
              </w:rPr>
              <w:t>children and families going into crisis</w:t>
            </w:r>
          </w:p>
        </w:tc>
      </w:tr>
      <w:tr w:rsidR="00E66558" w14:paraId="2A7D54FB" w14:textId="77777777" w:rsidTr="23622E9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00204065" w:rsidR="00E66558" w:rsidRDefault="7BAA0125">
            <w:pPr>
              <w:pStyle w:val="TableRow"/>
              <w:rPr>
                <w:sz w:val="22"/>
                <w:szCs w:val="22"/>
              </w:rPr>
            </w:pPr>
            <w:r w:rsidRPr="23622E9C">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3D74FFA2" w:rsidR="00E66558" w:rsidRDefault="39B9268B" w:rsidP="23622E9C">
            <w:pPr>
              <w:pStyle w:val="TableRowCentered"/>
              <w:jc w:val="left"/>
              <w:rPr>
                <w:sz w:val="22"/>
                <w:szCs w:val="22"/>
              </w:rPr>
            </w:pPr>
            <w:r w:rsidRPr="23622E9C">
              <w:rPr>
                <w:sz w:val="22"/>
                <w:szCs w:val="22"/>
              </w:rPr>
              <w:t xml:space="preserve">Significant widening of gaps for younger </w:t>
            </w:r>
            <w:r w:rsidR="3A4305BF" w:rsidRPr="23622E9C">
              <w:rPr>
                <w:sz w:val="22"/>
                <w:szCs w:val="22"/>
              </w:rPr>
              <w:t xml:space="preserve">eligible </w:t>
            </w:r>
            <w:r w:rsidRPr="23622E9C">
              <w:rPr>
                <w:sz w:val="22"/>
                <w:szCs w:val="22"/>
              </w:rPr>
              <w:t>pupils (EYFS and KS1)</w:t>
            </w:r>
          </w:p>
        </w:tc>
      </w:tr>
    </w:tbl>
    <w:p w14:paraId="10CB4C28" w14:textId="77777777" w:rsidR="00F54738" w:rsidRDefault="00F54738">
      <w:pPr>
        <w:pStyle w:val="Heading2"/>
        <w:spacing w:before="600"/>
      </w:pPr>
      <w:bookmarkStart w:id="16" w:name="_Toc443397160"/>
    </w:p>
    <w:p w14:paraId="2A7D54FF" w14:textId="71E24704" w:rsidR="00E66558" w:rsidRDefault="009D71E8">
      <w:pPr>
        <w:pStyle w:val="Heading2"/>
        <w:spacing w:before="600"/>
      </w:pPr>
      <w:r>
        <w:t xml:space="preserve">Intended outcomes </w:t>
      </w:r>
    </w:p>
    <w:p w14:paraId="2A7D5500" w14:textId="4AC3BCA2" w:rsidR="00E66558" w:rsidRDefault="009D71E8">
      <w:r w:rsidRPr="23622E9C">
        <w:rPr>
          <w:color w:val="auto"/>
        </w:rPr>
        <w:t xml:space="preserve">This explains the outcomes we are aiming for </w:t>
      </w:r>
      <w:r w:rsidRPr="23622E9C">
        <w:rPr>
          <w:b/>
          <w:bCs/>
          <w:color w:val="auto"/>
        </w:rPr>
        <w:t xml:space="preserve">by the end of our current </w:t>
      </w:r>
      <w:r w:rsidR="1923903B" w:rsidRPr="23622E9C">
        <w:rPr>
          <w:b/>
          <w:bCs/>
          <w:color w:val="auto"/>
        </w:rPr>
        <w:t xml:space="preserve"> 3 year </w:t>
      </w:r>
      <w:r w:rsidRPr="23622E9C">
        <w:rPr>
          <w:b/>
          <w:bCs/>
          <w:color w:val="auto"/>
        </w:rPr>
        <w:t>strategy plan</w:t>
      </w:r>
      <w:r w:rsidRPr="23622E9C">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4991370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4991370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43D5A89" w:rsidR="00E66558" w:rsidRDefault="36E407FD">
            <w:pPr>
              <w:pStyle w:val="TableRow"/>
            </w:pPr>
            <w:r>
              <w:t>A culture of good attendance is re</w:t>
            </w:r>
            <w:r w:rsidR="00F54738">
              <w:t>-e</w:t>
            </w:r>
            <w:r>
              <w:t>stablished across the school trust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0055691C" w:rsidR="00E66558" w:rsidRDefault="443EA14B" w:rsidP="23622E9C">
            <w:pPr>
              <w:pStyle w:val="TableRowCentered"/>
              <w:jc w:val="left"/>
              <w:rPr>
                <w:b/>
                <w:bCs/>
                <w:sz w:val="22"/>
                <w:szCs w:val="22"/>
              </w:rPr>
            </w:pPr>
            <w:r w:rsidRPr="4991370F">
              <w:rPr>
                <w:b/>
                <w:bCs/>
                <w:sz w:val="22"/>
                <w:szCs w:val="22"/>
              </w:rPr>
              <w:t xml:space="preserve">More </w:t>
            </w:r>
            <w:r w:rsidR="538E60BF" w:rsidRPr="4991370F">
              <w:rPr>
                <w:b/>
                <w:bCs/>
                <w:sz w:val="22"/>
                <w:szCs w:val="22"/>
              </w:rPr>
              <w:t>pupils</w:t>
            </w:r>
            <w:r w:rsidRPr="4991370F">
              <w:rPr>
                <w:b/>
                <w:bCs/>
                <w:sz w:val="22"/>
                <w:szCs w:val="22"/>
              </w:rPr>
              <w:t xml:space="preserve"> are in school more of the time. </w:t>
            </w:r>
            <w:r w:rsidR="62245107" w:rsidRPr="4991370F">
              <w:rPr>
                <w:b/>
                <w:bCs/>
                <w:sz w:val="22"/>
                <w:szCs w:val="22"/>
              </w:rPr>
              <w:t xml:space="preserve"> </w:t>
            </w:r>
            <w:r w:rsidR="1CFBB234" w:rsidRPr="4991370F">
              <w:rPr>
                <w:b/>
                <w:bCs/>
                <w:sz w:val="22"/>
                <w:szCs w:val="22"/>
              </w:rPr>
              <w:t>Absence r</w:t>
            </w:r>
            <w:r w:rsidR="62245107" w:rsidRPr="4991370F">
              <w:rPr>
                <w:b/>
                <w:bCs/>
                <w:sz w:val="22"/>
                <w:szCs w:val="22"/>
              </w:rPr>
              <w:t>ates of eligible pupils</w:t>
            </w:r>
            <w:r w:rsidRPr="4991370F">
              <w:rPr>
                <w:b/>
                <w:bCs/>
                <w:sz w:val="22"/>
                <w:szCs w:val="22"/>
              </w:rPr>
              <w:t xml:space="preserve"> are </w:t>
            </w:r>
            <w:r w:rsidR="05FBC484" w:rsidRPr="4991370F">
              <w:rPr>
                <w:b/>
                <w:bCs/>
                <w:sz w:val="22"/>
                <w:szCs w:val="22"/>
              </w:rPr>
              <w:t xml:space="preserve">in line </w:t>
            </w:r>
            <w:r w:rsidR="4BC5CB8B" w:rsidRPr="4991370F">
              <w:rPr>
                <w:b/>
                <w:bCs/>
                <w:sz w:val="22"/>
                <w:szCs w:val="22"/>
              </w:rPr>
              <w:t>with national</w:t>
            </w:r>
            <w:r w:rsidRPr="4991370F">
              <w:rPr>
                <w:b/>
                <w:bCs/>
                <w:sz w:val="22"/>
                <w:szCs w:val="22"/>
              </w:rPr>
              <w:t xml:space="preserve"> in all schools across the school trust and persistent absent</w:t>
            </w:r>
            <w:r w:rsidR="1CFBB234" w:rsidRPr="4991370F">
              <w:rPr>
                <w:b/>
                <w:bCs/>
                <w:sz w:val="22"/>
                <w:szCs w:val="22"/>
              </w:rPr>
              <w:t>e</w:t>
            </w:r>
            <w:r w:rsidRPr="4991370F">
              <w:rPr>
                <w:b/>
                <w:bCs/>
                <w:sz w:val="22"/>
                <w:szCs w:val="22"/>
              </w:rPr>
              <w:t>eism</w:t>
            </w:r>
            <w:r w:rsidR="43C38EE3" w:rsidRPr="4991370F">
              <w:rPr>
                <w:b/>
                <w:bCs/>
                <w:sz w:val="22"/>
                <w:szCs w:val="22"/>
              </w:rPr>
              <w:t xml:space="preserve"> for eligible pupils</w:t>
            </w:r>
            <w:r w:rsidRPr="4991370F">
              <w:rPr>
                <w:b/>
                <w:bCs/>
                <w:sz w:val="22"/>
                <w:szCs w:val="22"/>
              </w:rPr>
              <w:t xml:space="preserve"> is below nationals across the school trust</w:t>
            </w:r>
          </w:p>
        </w:tc>
      </w:tr>
      <w:tr w:rsidR="00E66558" w14:paraId="2A7D5509" w14:textId="77777777" w:rsidTr="4991370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454FCAC1" w:rsidR="00E66558" w:rsidRDefault="71D88C67">
            <w:pPr>
              <w:pStyle w:val="TableRow"/>
              <w:rPr>
                <w:sz w:val="22"/>
                <w:szCs w:val="22"/>
              </w:rPr>
            </w:pPr>
            <w:r w:rsidRPr="23622E9C">
              <w:rPr>
                <w:sz w:val="22"/>
                <w:szCs w:val="22"/>
              </w:rPr>
              <w:t xml:space="preserve">Gaps in early reading outcomes for </w:t>
            </w:r>
            <w:r w:rsidR="7C26639A" w:rsidRPr="23622E9C">
              <w:rPr>
                <w:sz w:val="22"/>
                <w:szCs w:val="22"/>
              </w:rPr>
              <w:t xml:space="preserve">all </w:t>
            </w:r>
            <w:r w:rsidRPr="23622E9C">
              <w:rPr>
                <w:sz w:val="22"/>
                <w:szCs w:val="22"/>
              </w:rPr>
              <w:t xml:space="preserve">eligible </w:t>
            </w:r>
            <w:r w:rsidR="5129B9E3" w:rsidRPr="23622E9C">
              <w:rPr>
                <w:sz w:val="22"/>
                <w:szCs w:val="22"/>
              </w:rPr>
              <w:t>pupils</w:t>
            </w:r>
            <w:r w:rsidRPr="23622E9C">
              <w:rPr>
                <w:sz w:val="22"/>
                <w:szCs w:val="22"/>
              </w:rPr>
              <w:t xml:space="preserve"> are closed.</w:t>
            </w:r>
            <w:r w:rsidR="5EA504D8" w:rsidRPr="23622E9C">
              <w:rPr>
                <w:sz w:val="22"/>
                <w:szCs w:val="22"/>
              </w:rPr>
              <w:t xml:space="preserve"> The bottom 20% in reading are targeted in a timely way to ensure that all </w:t>
            </w:r>
            <w:r w:rsidR="7B8B33FE" w:rsidRPr="23622E9C">
              <w:rPr>
                <w:sz w:val="22"/>
                <w:szCs w:val="22"/>
              </w:rPr>
              <w:t>pupils</w:t>
            </w:r>
            <w:r w:rsidR="5EA504D8" w:rsidRPr="23622E9C">
              <w:rPr>
                <w:sz w:val="22"/>
                <w:szCs w:val="22"/>
              </w:rPr>
              <w:t xml:space="preserve"> are reading by 6.</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5184DE61" w:rsidR="00E66558" w:rsidRDefault="71D88C67" w:rsidP="23622E9C">
            <w:pPr>
              <w:pStyle w:val="TableRowCentered"/>
              <w:jc w:val="left"/>
              <w:rPr>
                <w:rFonts w:eastAsia="Arial" w:cs="Arial"/>
                <w:color w:val="0D0D0D" w:themeColor="text1" w:themeTint="F2"/>
                <w:sz w:val="22"/>
                <w:szCs w:val="22"/>
              </w:rPr>
            </w:pPr>
            <w:r w:rsidRPr="23622E9C">
              <w:rPr>
                <w:rFonts w:eastAsia="Arial" w:cs="Arial"/>
                <w:b/>
                <w:bCs/>
                <w:color w:val="0D0D0D" w:themeColor="text1" w:themeTint="F2"/>
                <w:sz w:val="22"/>
                <w:szCs w:val="22"/>
              </w:rPr>
              <w:t xml:space="preserve">Gaps in early reading outcomes for eligible pupils are reduced to less than 10% across the school trust in the first year and in line with by the end of the </w:t>
            </w:r>
            <w:r w:rsidR="00B002BB">
              <w:rPr>
                <w:rFonts w:eastAsia="Arial" w:cs="Arial"/>
                <w:b/>
                <w:bCs/>
                <w:color w:val="0D0D0D" w:themeColor="text1" w:themeTint="F2"/>
                <w:sz w:val="22"/>
                <w:szCs w:val="22"/>
              </w:rPr>
              <w:t>third year.</w:t>
            </w:r>
          </w:p>
        </w:tc>
      </w:tr>
      <w:tr w:rsidR="00E66558" w14:paraId="2A7D550C" w14:textId="77777777" w:rsidTr="4991370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1EB26281" w:rsidR="00E66558" w:rsidRDefault="493F3E31">
            <w:pPr>
              <w:pStyle w:val="TableRow"/>
              <w:rPr>
                <w:sz w:val="22"/>
                <w:szCs w:val="22"/>
              </w:rPr>
            </w:pPr>
            <w:r w:rsidRPr="23622E9C">
              <w:rPr>
                <w:sz w:val="22"/>
                <w:szCs w:val="22"/>
              </w:rPr>
              <w:t>Gaps in writing across the school trust for</w:t>
            </w:r>
            <w:r w:rsidR="0ABB1411" w:rsidRPr="23622E9C">
              <w:rPr>
                <w:sz w:val="22"/>
                <w:szCs w:val="22"/>
              </w:rPr>
              <w:t xml:space="preserve"> all</w:t>
            </w:r>
            <w:r w:rsidRPr="23622E9C">
              <w:rPr>
                <w:sz w:val="22"/>
                <w:szCs w:val="22"/>
              </w:rPr>
              <w:t xml:space="preserve"> eligible </w:t>
            </w:r>
            <w:r w:rsidR="2F377C3D" w:rsidRPr="23622E9C">
              <w:rPr>
                <w:sz w:val="22"/>
                <w:szCs w:val="22"/>
              </w:rPr>
              <w:t>pupils</w:t>
            </w:r>
            <w:r w:rsidRPr="23622E9C">
              <w:rPr>
                <w:sz w:val="22"/>
                <w:szCs w:val="22"/>
              </w:rPr>
              <w:t xml:space="preserve"> are closed </w:t>
            </w:r>
            <w:r w:rsidR="0875E5AD" w:rsidRPr="23622E9C">
              <w:rPr>
                <w:sz w:val="22"/>
                <w:szCs w:val="22"/>
              </w:rPr>
              <w:t>at both expected and greater depth.</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7094251A" w:rsidR="00E66558" w:rsidRDefault="493F3E31" w:rsidP="23622E9C">
            <w:pPr>
              <w:pStyle w:val="TableRowCentered"/>
              <w:jc w:val="left"/>
              <w:rPr>
                <w:rFonts w:eastAsia="Arial" w:cs="Arial"/>
                <w:b/>
                <w:bCs/>
                <w:color w:val="0D0D0D" w:themeColor="text1" w:themeTint="F2"/>
                <w:sz w:val="22"/>
                <w:szCs w:val="22"/>
              </w:rPr>
            </w:pPr>
            <w:r w:rsidRPr="23622E9C">
              <w:rPr>
                <w:rFonts w:eastAsia="Arial" w:cs="Arial"/>
                <w:b/>
                <w:bCs/>
                <w:color w:val="0D0D0D" w:themeColor="text1" w:themeTint="F2"/>
                <w:sz w:val="22"/>
                <w:szCs w:val="22"/>
              </w:rPr>
              <w:t>Gaps in Writing outcomes for eligible pupils are reduced to less than 10% across the school trust in the first year and in line with by the end of the 3</w:t>
            </w:r>
            <w:r w:rsidRPr="23622E9C">
              <w:rPr>
                <w:rFonts w:eastAsia="Arial" w:cs="Arial"/>
                <w:b/>
                <w:bCs/>
                <w:color w:val="0D0D0D" w:themeColor="text1" w:themeTint="F2"/>
                <w:sz w:val="22"/>
                <w:szCs w:val="22"/>
                <w:vertAlign w:val="superscript"/>
              </w:rPr>
              <w:t>rd year</w:t>
            </w:r>
          </w:p>
        </w:tc>
      </w:tr>
      <w:tr w:rsidR="00E66558" w14:paraId="2A7D550F" w14:textId="77777777" w:rsidTr="4991370F">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788BC8B0" w:rsidR="00E66558" w:rsidRDefault="0115CD11">
            <w:pPr>
              <w:pStyle w:val="TableRow"/>
              <w:rPr>
                <w:sz w:val="22"/>
                <w:szCs w:val="22"/>
              </w:rPr>
            </w:pPr>
            <w:r w:rsidRPr="23622E9C">
              <w:rPr>
                <w:sz w:val="22"/>
                <w:szCs w:val="22"/>
              </w:rPr>
              <w:t xml:space="preserve">A full time Family Support/Safeguarding Lead works with eligible pupils and families. </w:t>
            </w:r>
            <w:r w:rsidR="493F3E31" w:rsidRPr="23622E9C">
              <w:rPr>
                <w:sz w:val="22"/>
                <w:szCs w:val="22"/>
              </w:rPr>
              <w:t>Pupils and families are supported</w:t>
            </w:r>
            <w:r w:rsidR="19A8CB06" w:rsidRPr="23622E9C">
              <w:rPr>
                <w:sz w:val="22"/>
                <w:szCs w:val="22"/>
              </w:rPr>
              <w:t xml:space="preserve"> </w:t>
            </w:r>
            <w:r w:rsidR="2901CB18" w:rsidRPr="23622E9C">
              <w:rPr>
                <w:sz w:val="22"/>
                <w:szCs w:val="22"/>
              </w:rPr>
              <w:t>in a timely way to ensure that disruption to education is minimised and barriers are overcome.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E" w14:textId="46F8E91D" w:rsidR="00E66558" w:rsidRDefault="19A8CB06" w:rsidP="23622E9C">
            <w:pPr>
              <w:pStyle w:val="TableRowCentered"/>
              <w:jc w:val="left"/>
              <w:rPr>
                <w:b/>
                <w:bCs/>
                <w:sz w:val="22"/>
                <w:szCs w:val="22"/>
              </w:rPr>
            </w:pPr>
            <w:r w:rsidRPr="23622E9C">
              <w:rPr>
                <w:b/>
                <w:bCs/>
                <w:sz w:val="22"/>
                <w:szCs w:val="22"/>
              </w:rPr>
              <w:t>Gaps that have arisen due to barriers experienced by the most disadvantaged pupils are clos</w:t>
            </w:r>
            <w:r w:rsidR="00B002BB">
              <w:rPr>
                <w:b/>
                <w:bCs/>
                <w:sz w:val="22"/>
                <w:szCs w:val="22"/>
              </w:rPr>
              <w:t>ing</w:t>
            </w:r>
            <w:r w:rsidR="1F8A269F" w:rsidRPr="23622E9C">
              <w:rPr>
                <w:b/>
                <w:bCs/>
                <w:sz w:val="22"/>
                <w:szCs w:val="22"/>
              </w:rPr>
              <w:t xml:space="preserve"> and eligible pupils are in school, supported and ready to learn.</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15037C4" w:rsidR="00E66558" w:rsidRDefault="3D125DB5" w:rsidP="614E7829">
      <w:pPr>
        <w:rPr>
          <w:i/>
          <w:iCs/>
        </w:rPr>
      </w:pPr>
      <w:r>
        <w:t>Budgeted cost: £</w:t>
      </w:r>
      <w:r w:rsidR="681C1662">
        <w:t>48</w:t>
      </w:r>
      <w:r w:rsidR="081FA565">
        <w:t>2,215</w:t>
      </w:r>
    </w:p>
    <w:tbl>
      <w:tblPr>
        <w:tblW w:w="9486" w:type="dxa"/>
        <w:tblCellMar>
          <w:left w:w="10" w:type="dxa"/>
          <w:right w:w="10" w:type="dxa"/>
        </w:tblCellMar>
        <w:tblLook w:val="04A0" w:firstRow="1" w:lastRow="0" w:firstColumn="1" w:lastColumn="0" w:noHBand="0" w:noVBand="1"/>
      </w:tblPr>
      <w:tblGrid>
        <w:gridCol w:w="2688"/>
        <w:gridCol w:w="5310"/>
        <w:gridCol w:w="1488"/>
      </w:tblGrid>
      <w:tr w:rsidR="00E66558" w14:paraId="2A7D5519" w14:textId="77777777" w:rsidTr="6C98E97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23622E9C">
            <w:pPr>
              <w:pStyle w:val="TableHeader"/>
              <w:jc w:val="left"/>
              <w:rPr>
                <w:sz w:val="20"/>
                <w:szCs w:val="20"/>
              </w:rPr>
            </w:pPr>
            <w:r w:rsidRPr="23622E9C">
              <w:rPr>
                <w:sz w:val="20"/>
                <w:szCs w:val="20"/>
              </w:rPr>
              <w:t>Challenge number(s) addressed</w:t>
            </w:r>
          </w:p>
        </w:tc>
      </w:tr>
      <w:tr w:rsidR="00E66558" w14:paraId="2A7D551D" w14:textId="77777777" w:rsidTr="6C98E97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30E4FD52" w:rsidR="00E66558" w:rsidRPr="00BA5D50" w:rsidRDefault="7FC079F1" w:rsidP="23622E9C">
            <w:pPr>
              <w:pStyle w:val="TableRow"/>
              <w:rPr>
                <w:sz w:val="22"/>
                <w:szCs w:val="22"/>
              </w:rPr>
            </w:pPr>
            <w:r w:rsidRPr="23622E9C">
              <w:rPr>
                <w:sz w:val="22"/>
                <w:szCs w:val="22"/>
              </w:rPr>
              <w:t>E</w:t>
            </w:r>
            <w:r w:rsidR="309AAB5F" w:rsidRPr="23622E9C">
              <w:rPr>
                <w:sz w:val="22"/>
                <w:szCs w:val="22"/>
              </w:rPr>
              <w:t>mbed a whole school trust approach to the development of early reading through increased rigour and data analysis of the bottom 20% at more regular intervals</w:t>
            </w:r>
            <w:r w:rsidRPr="23622E9C">
              <w:rPr>
                <w:sz w:val="22"/>
                <w:szCs w:val="22"/>
              </w:rPr>
              <w:t xml:space="preserve"> and targeted external support and CPD for </w:t>
            </w:r>
            <w:r w:rsidR="069D095E" w:rsidRPr="23622E9C">
              <w:rPr>
                <w:sz w:val="22"/>
                <w:szCs w:val="22"/>
              </w:rPr>
              <w:t>all teachers of reading and coaching for reading leaders</w:t>
            </w:r>
            <w:r w:rsidR="56FF247D" w:rsidRPr="23622E9C">
              <w:rPr>
                <w:sz w:val="22"/>
                <w:szCs w:val="22"/>
              </w:rPr>
              <w:t xml:space="preserve">. Investment in a school trust offer (external </w:t>
            </w:r>
            <w:r w:rsidR="05A2DE34" w:rsidRPr="23622E9C">
              <w:rPr>
                <w:sz w:val="22"/>
                <w:szCs w:val="22"/>
              </w:rPr>
              <w:t>S</w:t>
            </w:r>
            <w:r w:rsidR="5BE6BDE5" w:rsidRPr="23622E9C">
              <w:rPr>
                <w:sz w:val="22"/>
                <w:szCs w:val="22"/>
              </w:rPr>
              <w:t xml:space="preserve">ystematic </w:t>
            </w:r>
            <w:r w:rsidR="05A2DE34" w:rsidRPr="23622E9C">
              <w:rPr>
                <w:sz w:val="22"/>
                <w:szCs w:val="22"/>
              </w:rPr>
              <w:t>S</w:t>
            </w:r>
            <w:r w:rsidR="3E784DB8" w:rsidRPr="23622E9C">
              <w:rPr>
                <w:sz w:val="22"/>
                <w:szCs w:val="22"/>
              </w:rPr>
              <w:t xml:space="preserve">ynthetic </w:t>
            </w:r>
            <w:r w:rsidR="6E121CCD" w:rsidRPr="23622E9C">
              <w:rPr>
                <w:sz w:val="22"/>
                <w:szCs w:val="22"/>
              </w:rPr>
              <w:t>Phonics</w:t>
            </w:r>
            <w:r w:rsidR="05A2DE34" w:rsidRPr="23622E9C">
              <w:rPr>
                <w:sz w:val="22"/>
                <w:szCs w:val="22"/>
              </w:rPr>
              <w:t xml:space="preserve"> </w:t>
            </w:r>
            <w:r w:rsidR="56FF247D" w:rsidRPr="23622E9C">
              <w:rPr>
                <w:sz w:val="22"/>
                <w:szCs w:val="22"/>
              </w:rPr>
              <w:t>provid</w:t>
            </w:r>
            <w:r w:rsidR="5B346619" w:rsidRPr="23622E9C">
              <w:rPr>
                <w:sz w:val="22"/>
                <w:szCs w:val="22"/>
              </w:rPr>
              <w:t>er</w:t>
            </w:r>
            <w:r w:rsidR="1B5095C3" w:rsidRPr="23622E9C">
              <w:rPr>
                <w:sz w:val="22"/>
                <w:szCs w:val="22"/>
              </w:rPr>
              <w:t xml:space="preserve"> to provide data around the lowest 20% and development days, coaching and precision teaching, 1:1s)</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3219D" w14:textId="3E49B400" w:rsidR="00E66558" w:rsidRDefault="069D095E" w:rsidP="23622E9C">
            <w:pPr>
              <w:pStyle w:val="TableRowCentered"/>
              <w:jc w:val="left"/>
              <w:rPr>
                <w:i/>
                <w:iCs/>
                <w:sz w:val="22"/>
                <w:szCs w:val="22"/>
              </w:rPr>
            </w:pPr>
            <w:r w:rsidRPr="23622E9C">
              <w:rPr>
                <w:sz w:val="22"/>
                <w:szCs w:val="22"/>
              </w:rPr>
              <w:t>EEF guidance and reports</w:t>
            </w:r>
            <w:r w:rsidR="1A474AD2" w:rsidRPr="23622E9C">
              <w:rPr>
                <w:sz w:val="22"/>
                <w:szCs w:val="22"/>
              </w:rPr>
              <w:t xml:space="preserve"> ‘</w:t>
            </w:r>
            <w:r w:rsidR="1A474AD2" w:rsidRPr="23622E9C">
              <w:rPr>
                <w:i/>
                <w:iCs/>
                <w:sz w:val="22"/>
                <w:szCs w:val="22"/>
              </w:rPr>
              <w:t>further research confirms young pupils’ achievement in reading and maths remains significantly lower than before the pandemic</w:t>
            </w:r>
            <w:r w:rsidR="20E40061" w:rsidRPr="23622E9C">
              <w:rPr>
                <w:i/>
                <w:iCs/>
                <w:sz w:val="22"/>
                <w:szCs w:val="22"/>
              </w:rPr>
              <w:t>, and the gap between children from low and high income households remains wide’</w:t>
            </w:r>
          </w:p>
          <w:p w14:paraId="45F70CF7" w14:textId="744521A0" w:rsidR="20E40061" w:rsidRDefault="20E40061" w:rsidP="23622E9C">
            <w:pPr>
              <w:pStyle w:val="TableRowCentered"/>
              <w:jc w:val="left"/>
              <w:rPr>
                <w:i/>
                <w:iCs/>
                <w:sz w:val="22"/>
                <w:szCs w:val="22"/>
              </w:rPr>
            </w:pPr>
            <w:r w:rsidRPr="23622E9C">
              <w:rPr>
                <w:i/>
                <w:iCs/>
                <w:sz w:val="22"/>
                <w:szCs w:val="22"/>
              </w:rPr>
              <w:t>The CST recommends using EEFs tiered methodology which is why we have looked at whole school approaches, targeted approaches and wider strategies.</w:t>
            </w:r>
          </w:p>
          <w:p w14:paraId="1888EADE" w14:textId="31E8EC3B" w:rsidR="02ECA897" w:rsidRDefault="798AF6DC" w:rsidP="6C98E978">
            <w:pPr>
              <w:pStyle w:val="TableRowCentered"/>
              <w:jc w:val="left"/>
              <w:rPr>
                <w:i/>
                <w:iCs/>
                <w:sz w:val="22"/>
                <w:szCs w:val="22"/>
              </w:rPr>
            </w:pPr>
            <w:r w:rsidRPr="6C98E978">
              <w:rPr>
                <w:i/>
                <w:iCs/>
                <w:sz w:val="22"/>
                <w:szCs w:val="22"/>
              </w:rPr>
              <w:t>High quality teaching for all remains the single biggest priority. We</w:t>
            </w:r>
            <w:r w:rsidR="1B762611" w:rsidRPr="6C98E978">
              <w:rPr>
                <w:i/>
                <w:iCs/>
                <w:sz w:val="22"/>
                <w:szCs w:val="22"/>
              </w:rPr>
              <w:t xml:space="preserve"> know from the best available evidence that the most powerful tool wwe have to combat educational inequality is to support great teaching in every classroom</w:t>
            </w:r>
            <w:r w:rsidRPr="6C98E978">
              <w:rPr>
                <w:i/>
                <w:iCs/>
                <w:sz w:val="22"/>
                <w:szCs w:val="22"/>
              </w:rPr>
              <w:t xml:space="preserve"> (Prof Becky Francis, CEO,EEF)</w:t>
            </w:r>
          </w:p>
          <w:p w14:paraId="0E14112D" w14:textId="07A3D9DB" w:rsidR="003F40D4" w:rsidRDefault="003F40D4">
            <w:pPr>
              <w:pStyle w:val="TableRowCentered"/>
              <w:jc w:val="left"/>
              <w:rPr>
                <w:sz w:val="22"/>
              </w:rPr>
            </w:pPr>
            <w:r>
              <w:rPr>
                <w:sz w:val="22"/>
              </w:rPr>
              <w:t>Previous outcomes for those disadvantaged within our school trust (pre pandemic)</w:t>
            </w:r>
          </w:p>
          <w:p w14:paraId="2A7D551B" w14:textId="782A3654" w:rsidR="00BA5D50" w:rsidRDefault="00BA5D50">
            <w:pPr>
              <w:pStyle w:val="TableRowCentered"/>
              <w:jc w:val="left"/>
              <w:rPr>
                <w:sz w:val="22"/>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27985BF" w:rsidR="00E66558" w:rsidRDefault="003F40D4">
            <w:pPr>
              <w:pStyle w:val="TableRowCentered"/>
              <w:jc w:val="left"/>
              <w:rPr>
                <w:sz w:val="22"/>
              </w:rPr>
            </w:pPr>
            <w:r>
              <w:rPr>
                <w:sz w:val="22"/>
              </w:rPr>
              <w:t>2</w:t>
            </w:r>
          </w:p>
        </w:tc>
      </w:tr>
      <w:tr w:rsidR="23622E9C" w14:paraId="2828CD44" w14:textId="77777777" w:rsidTr="6C98E97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D97B4" w14:textId="6134E6E0" w:rsidR="1B85CE41" w:rsidRDefault="12B54444" w:rsidP="23622E9C">
            <w:pPr>
              <w:pStyle w:val="TableRow"/>
              <w:rPr>
                <w:sz w:val="22"/>
                <w:szCs w:val="22"/>
              </w:rPr>
            </w:pPr>
            <w:r w:rsidRPr="6C98E978">
              <w:rPr>
                <w:sz w:val="22"/>
                <w:szCs w:val="22"/>
              </w:rPr>
              <w:t xml:space="preserve">Creation of </w:t>
            </w:r>
            <w:r w:rsidR="143E0F02" w:rsidRPr="6C98E978">
              <w:rPr>
                <w:sz w:val="22"/>
                <w:szCs w:val="22"/>
              </w:rPr>
              <w:t xml:space="preserve">and </w:t>
            </w:r>
            <w:r w:rsidRPr="6C98E978">
              <w:rPr>
                <w:sz w:val="22"/>
                <w:szCs w:val="22"/>
              </w:rPr>
              <w:t xml:space="preserve">recruitment </w:t>
            </w:r>
            <w:r w:rsidR="143E0F02" w:rsidRPr="6C98E978">
              <w:rPr>
                <w:sz w:val="22"/>
                <w:szCs w:val="22"/>
              </w:rPr>
              <w:t>of</w:t>
            </w:r>
            <w:r w:rsidRPr="6C98E978">
              <w:rPr>
                <w:sz w:val="22"/>
                <w:szCs w:val="22"/>
              </w:rPr>
              <w:t xml:space="preserve"> a full</w:t>
            </w:r>
            <w:r w:rsidR="0E317A12" w:rsidRPr="6C98E978">
              <w:rPr>
                <w:sz w:val="22"/>
                <w:szCs w:val="22"/>
              </w:rPr>
              <w:t>-</w:t>
            </w:r>
            <w:r w:rsidRPr="6C98E978">
              <w:rPr>
                <w:sz w:val="22"/>
                <w:szCs w:val="22"/>
              </w:rPr>
              <w:t>time family support/Designated Safeguarding Lead</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45422" w14:textId="23C6F8AB" w:rsidR="23622E9C" w:rsidRDefault="7D9D0190" w:rsidP="23622E9C">
            <w:pPr>
              <w:pStyle w:val="TableRowCentered"/>
              <w:jc w:val="left"/>
              <w:rPr>
                <w:sz w:val="22"/>
                <w:szCs w:val="22"/>
              </w:rPr>
            </w:pPr>
            <w:r w:rsidRPr="6C98E978">
              <w:rPr>
                <w:sz w:val="22"/>
                <w:szCs w:val="22"/>
              </w:rPr>
              <w:t>Evidence based data from within details that there is an increase in pupils and their families falling into crisis mirroring what is seen nationally. Intervening early has the best chance of en</w:t>
            </w:r>
            <w:r w:rsidR="69356DAE" w:rsidRPr="6C98E978">
              <w:rPr>
                <w:sz w:val="22"/>
                <w:szCs w:val="22"/>
              </w:rPr>
              <w:t xml:space="preserve">abling our pupils and families to be successful. </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F7EA1" w14:textId="27345F9D" w:rsidR="23622E9C" w:rsidRDefault="69356DAE" w:rsidP="23622E9C">
            <w:pPr>
              <w:pStyle w:val="TableRowCentered"/>
              <w:jc w:val="left"/>
              <w:rPr>
                <w:sz w:val="22"/>
                <w:szCs w:val="22"/>
              </w:rPr>
            </w:pPr>
            <w:r w:rsidRPr="6C98E978">
              <w:rPr>
                <w:sz w:val="22"/>
                <w:szCs w:val="22"/>
              </w:rPr>
              <w:t>4 but impact will be on all</w:t>
            </w:r>
          </w:p>
        </w:tc>
      </w:tr>
      <w:tr w:rsidR="23622E9C" w14:paraId="566F9A18" w14:textId="77777777" w:rsidTr="6C98E97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1891D" w14:textId="3DB1D767" w:rsidR="6BAFD7F4" w:rsidRDefault="6BAFD7F4" w:rsidP="23622E9C">
            <w:pPr>
              <w:pStyle w:val="TableRow"/>
              <w:rPr>
                <w:sz w:val="22"/>
                <w:szCs w:val="22"/>
              </w:rPr>
            </w:pPr>
            <w:r w:rsidRPr="23622E9C">
              <w:rPr>
                <w:sz w:val="22"/>
                <w:szCs w:val="22"/>
              </w:rPr>
              <w:t>Establish a whole school trust approach to the teaching of writing through investment in a central English role and writing programme</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2134A" w14:textId="79AAEEC6" w:rsidR="23622E9C" w:rsidRDefault="6BDD6A31" w:rsidP="23622E9C">
            <w:pPr>
              <w:pStyle w:val="TableRowCentered"/>
              <w:jc w:val="left"/>
              <w:rPr>
                <w:sz w:val="22"/>
                <w:szCs w:val="22"/>
              </w:rPr>
            </w:pPr>
            <w:r w:rsidRPr="6C98E978">
              <w:rPr>
                <w:sz w:val="22"/>
                <w:szCs w:val="22"/>
              </w:rPr>
              <w:t>Having a consistent approach to writing will directly improve the quality of provision and thus focus on Quality First Teaching. As evidenced above the EEF clearly states that impro</w:t>
            </w:r>
            <w:r w:rsidR="747D346E" w:rsidRPr="6C98E978">
              <w:rPr>
                <w:sz w:val="22"/>
                <w:szCs w:val="22"/>
              </w:rPr>
              <w:t xml:space="preserve">ving the quality of teaching in every classroom is essential for all pupils but more so those eligible </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978F0" w14:textId="415A450D" w:rsidR="23622E9C" w:rsidRDefault="747D346E" w:rsidP="23622E9C">
            <w:pPr>
              <w:pStyle w:val="TableRowCentered"/>
              <w:jc w:val="left"/>
              <w:rPr>
                <w:sz w:val="22"/>
                <w:szCs w:val="22"/>
              </w:rPr>
            </w:pPr>
            <w:r w:rsidRPr="6C98E978">
              <w:rPr>
                <w:sz w:val="22"/>
                <w:szCs w:val="22"/>
              </w:rPr>
              <w:t>3</w:t>
            </w:r>
          </w:p>
        </w:tc>
      </w:tr>
      <w:tr w:rsidR="00525530" w14:paraId="64183006" w14:textId="77777777" w:rsidTr="6C98E97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EFECC" w14:textId="235BED4A" w:rsidR="00525530" w:rsidRDefault="6280F14C" w:rsidP="23622E9C">
            <w:pPr>
              <w:pStyle w:val="TableRow"/>
              <w:rPr>
                <w:sz w:val="22"/>
                <w:szCs w:val="22"/>
              </w:rPr>
            </w:pPr>
            <w:r w:rsidRPr="23622E9C">
              <w:rPr>
                <w:sz w:val="22"/>
                <w:szCs w:val="22"/>
              </w:rPr>
              <w:t xml:space="preserve">Development of a school trust wide approach to </w:t>
            </w:r>
            <w:r w:rsidR="0BAD6F09" w:rsidRPr="23622E9C">
              <w:rPr>
                <w:sz w:val="22"/>
                <w:szCs w:val="22"/>
              </w:rPr>
              <w:t>pedagogy to support all pupils but particularly those eligible</w:t>
            </w:r>
            <w:r w:rsidR="03CA5ACF" w:rsidRPr="23622E9C">
              <w:rPr>
                <w:sz w:val="22"/>
                <w:szCs w:val="22"/>
              </w:rPr>
              <w:t xml:space="preserve"> through regular and iterative CPD </w:t>
            </w:r>
            <w:r w:rsidR="24E5F40D" w:rsidRPr="23622E9C">
              <w:rPr>
                <w:sz w:val="22"/>
                <w:szCs w:val="22"/>
              </w:rPr>
              <w:t xml:space="preserve">and </w:t>
            </w:r>
            <w:r w:rsidR="24E5F40D" w:rsidRPr="23622E9C">
              <w:rPr>
                <w:sz w:val="22"/>
                <w:szCs w:val="22"/>
              </w:rPr>
              <w:lastRenderedPageBreak/>
              <w:t>an incremental coaching offer.</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28826" w14:textId="77777777" w:rsidR="00525530" w:rsidRDefault="00C21BBB">
            <w:pPr>
              <w:pStyle w:val="TableRowCentered"/>
              <w:jc w:val="left"/>
              <w:rPr>
                <w:sz w:val="22"/>
              </w:rPr>
            </w:pPr>
            <w:r>
              <w:rPr>
                <w:sz w:val="22"/>
              </w:rPr>
              <w:lastRenderedPageBreak/>
              <w:t>EEF</w:t>
            </w:r>
          </w:p>
          <w:p w14:paraId="68954367" w14:textId="6A502F15" w:rsidR="00C21BBB" w:rsidRDefault="3F6788C2" w:rsidP="6C98E978">
            <w:pPr>
              <w:pStyle w:val="TableRowCentered"/>
              <w:jc w:val="left"/>
              <w:rPr>
                <w:sz w:val="22"/>
                <w:szCs w:val="22"/>
              </w:rPr>
            </w:pPr>
            <w:r w:rsidRPr="6C98E978">
              <w:rPr>
                <w:sz w:val="22"/>
                <w:szCs w:val="22"/>
              </w:rPr>
              <w:t>National research – Rosenshine’s principles</w:t>
            </w:r>
          </w:p>
          <w:p w14:paraId="2F81BDDD" w14:textId="4990E172" w:rsidR="00C21BBB" w:rsidRDefault="4BAC39B2" w:rsidP="6C98E978">
            <w:pPr>
              <w:pStyle w:val="TableRowCentered"/>
              <w:jc w:val="left"/>
              <w:rPr>
                <w:color w:val="0D0D0D" w:themeColor="text1" w:themeTint="F2"/>
                <w:szCs w:val="24"/>
              </w:rPr>
            </w:pPr>
            <w:r w:rsidRPr="6C98E978">
              <w:rPr>
                <w:color w:val="0D0D0D" w:themeColor="text1" w:themeTint="F2"/>
                <w:sz w:val="22"/>
                <w:szCs w:val="22"/>
              </w:rPr>
              <w:t>Improving the quality of teaching in every classroom through ongoing high quality CPD</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D948A" w14:textId="054CBF3C" w:rsidR="00525530" w:rsidRDefault="2158409E" w:rsidP="23622E9C">
            <w:pPr>
              <w:pStyle w:val="TableRowCentered"/>
              <w:jc w:val="left"/>
              <w:rPr>
                <w:sz w:val="22"/>
                <w:szCs w:val="22"/>
              </w:rPr>
            </w:pPr>
            <w:r w:rsidRPr="23622E9C">
              <w:rPr>
                <w:sz w:val="22"/>
                <w:szCs w:val="22"/>
              </w:rPr>
              <w:t>2,3,5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E2CC1FB" w:rsidR="00E66558" w:rsidRDefault="3D125DB5">
      <w:r>
        <w:t>Budgeted cost: £</w:t>
      </w:r>
      <w:r w:rsidR="261A818D">
        <w:t>8</w:t>
      </w:r>
      <w:r w:rsidR="17D71A5D">
        <w:t>0,000</w:t>
      </w:r>
    </w:p>
    <w:tbl>
      <w:tblPr>
        <w:tblW w:w="5000" w:type="pct"/>
        <w:tblCellMar>
          <w:left w:w="10" w:type="dxa"/>
          <w:right w:w="10" w:type="dxa"/>
        </w:tblCellMar>
        <w:tblLook w:val="04A0" w:firstRow="1" w:lastRow="0" w:firstColumn="1" w:lastColumn="0" w:noHBand="0" w:noVBand="1"/>
      </w:tblPr>
      <w:tblGrid>
        <w:gridCol w:w="2972"/>
        <w:gridCol w:w="3970"/>
        <w:gridCol w:w="2544"/>
      </w:tblGrid>
      <w:tr w:rsidR="00E66558" w14:paraId="2A7D5528" w14:textId="77777777" w:rsidTr="440B16A5">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440B16A5">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1BDB7987" w:rsidR="00E66558" w:rsidRPr="00E317F9" w:rsidRDefault="7DAADB17">
            <w:pPr>
              <w:pStyle w:val="TableRow"/>
            </w:pPr>
            <w:r w:rsidRPr="440B16A5">
              <w:rPr>
                <w:sz w:val="22"/>
                <w:szCs w:val="22"/>
              </w:rPr>
              <w:t xml:space="preserve">Embed </w:t>
            </w:r>
            <w:r w:rsidR="7E2922F1" w:rsidRPr="440B16A5">
              <w:rPr>
                <w:sz w:val="22"/>
                <w:szCs w:val="22"/>
              </w:rPr>
              <w:t>precision teaching and 1:1 coaching support</w:t>
            </w:r>
            <w:r w:rsidR="1F829439" w:rsidRPr="440B16A5">
              <w:rPr>
                <w:sz w:val="22"/>
                <w:szCs w:val="22"/>
              </w:rPr>
              <w:t xml:space="preserve"> in the teaching of early reading and maths through reading leader</w:t>
            </w:r>
            <w:r w:rsidR="380896EA" w:rsidRPr="440B16A5">
              <w:rPr>
                <w:sz w:val="22"/>
                <w:szCs w:val="22"/>
              </w:rPr>
              <w:t xml:space="preserve"> CPD/Development Days</w:t>
            </w:r>
            <w:r w:rsidR="1F829439" w:rsidRPr="440B16A5">
              <w:rPr>
                <w:sz w:val="22"/>
                <w:szCs w:val="22"/>
              </w:rPr>
              <w:t xml:space="preserve"> and incremental coaching</w:t>
            </w:r>
            <w:r w:rsidR="380896EA" w:rsidRPr="440B16A5">
              <w:rPr>
                <w:sz w:val="22"/>
                <w:szCs w:val="22"/>
              </w:rPr>
              <w:t xml:space="preserve"> with a</w:t>
            </w:r>
            <w:r w:rsidR="595E2D8E" w:rsidRPr="440B16A5">
              <w:rPr>
                <w:sz w:val="22"/>
                <w:szCs w:val="22"/>
              </w:rPr>
              <w:t>n</w:t>
            </w:r>
            <w:r w:rsidR="380896EA" w:rsidRPr="440B16A5">
              <w:rPr>
                <w:sz w:val="22"/>
                <w:szCs w:val="22"/>
              </w:rPr>
              <w:t xml:space="preserve"> early reading and fluency in Maths focus.</w:t>
            </w:r>
            <w:r w:rsidR="75F6B57B" w:rsidRPr="440B16A5">
              <w:rPr>
                <w:sz w:val="22"/>
                <w:szCs w:val="22"/>
              </w:rPr>
              <w:t xml:space="preserve"> Ensure that all </w:t>
            </w:r>
            <w:r w:rsidR="42FB44E9" w:rsidRPr="440B16A5">
              <w:rPr>
                <w:sz w:val="22"/>
                <w:szCs w:val="22"/>
              </w:rPr>
              <w:t xml:space="preserve">teachers </w:t>
            </w:r>
            <w:r w:rsidR="0CA2AAE8" w:rsidRPr="440B16A5">
              <w:rPr>
                <w:sz w:val="22"/>
                <w:szCs w:val="22"/>
              </w:rPr>
              <w:t xml:space="preserve">and support staff </w:t>
            </w:r>
            <w:r w:rsidR="42FB44E9" w:rsidRPr="440B16A5">
              <w:rPr>
                <w:sz w:val="22"/>
                <w:szCs w:val="22"/>
              </w:rPr>
              <w:t>have the relevant professional development to ensure effective CPD</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22894" w14:textId="77777777" w:rsidR="00E66558" w:rsidRDefault="00C159BC">
            <w:pPr>
              <w:pStyle w:val="TableRowCentered"/>
              <w:jc w:val="left"/>
              <w:rPr>
                <w:sz w:val="22"/>
              </w:rPr>
            </w:pPr>
            <w:r>
              <w:rPr>
                <w:sz w:val="22"/>
              </w:rPr>
              <w:t xml:space="preserve">EEF </w:t>
            </w:r>
            <w:r w:rsidR="00CC7820">
              <w:rPr>
                <w:sz w:val="22"/>
              </w:rPr>
              <w:t>guidance reports on effective teaching and 1:1 case studies</w:t>
            </w:r>
          </w:p>
          <w:p w14:paraId="12F56859" w14:textId="77777777" w:rsidR="00CC7820" w:rsidRDefault="00CC7820" w:rsidP="00594CCC">
            <w:pPr>
              <w:pStyle w:val="TableRowCentered"/>
              <w:jc w:val="left"/>
              <w:rPr>
                <w:sz w:val="22"/>
              </w:rPr>
            </w:pPr>
            <w:r>
              <w:rPr>
                <w:sz w:val="22"/>
              </w:rPr>
              <w:t>Teacher Development Trust case studies</w:t>
            </w:r>
          </w:p>
          <w:p w14:paraId="31102632" w14:textId="3B4946F9" w:rsidR="00E37FC2" w:rsidRDefault="00E37FC2" w:rsidP="00594CCC">
            <w:pPr>
              <w:pStyle w:val="TableRowCentered"/>
              <w:jc w:val="left"/>
              <w:rPr>
                <w:sz w:val="22"/>
              </w:rPr>
            </w:pPr>
            <w:r>
              <w:rPr>
                <w:sz w:val="22"/>
              </w:rPr>
              <w:t xml:space="preserve">Work as a National English Hub and </w:t>
            </w:r>
            <w:r w:rsidR="00DB0976">
              <w:rPr>
                <w:sz w:val="22"/>
              </w:rPr>
              <w:t>PD leads in Maths Hubs</w:t>
            </w:r>
          </w:p>
          <w:p w14:paraId="2A7D552A" w14:textId="6ACB1705" w:rsidR="00C21BBB" w:rsidRDefault="00C21BBB" w:rsidP="00594CCC">
            <w:pPr>
              <w:pStyle w:val="TableRowCentered"/>
              <w:jc w:val="left"/>
              <w:rPr>
                <w:sz w:val="22"/>
              </w:rPr>
            </w:pPr>
            <w:r>
              <w:rPr>
                <w:sz w:val="22"/>
              </w:rPr>
              <w:t>EEF reports which state that all CPD must be regular and iterative.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2C592254" w:rsidR="00E66558" w:rsidRDefault="003F74FA">
            <w:pPr>
              <w:pStyle w:val="TableRowCentered"/>
              <w:jc w:val="left"/>
              <w:rPr>
                <w:sz w:val="22"/>
              </w:rPr>
            </w:pPr>
            <w:r>
              <w:rPr>
                <w:sz w:val="22"/>
              </w:rPr>
              <w:t>2 and 4</w:t>
            </w:r>
          </w:p>
        </w:tc>
      </w:tr>
      <w:tr w:rsidR="00E66558" w14:paraId="2A7D5530" w14:textId="77777777" w:rsidTr="440B16A5">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61932642" w:rsidR="00E66558" w:rsidRDefault="00E66558" w:rsidP="003B6A22">
            <w:pPr>
              <w:pStyle w:val="TableRow"/>
              <w:ind w:left="0"/>
              <w:rPr>
                <w:i/>
                <w:sz w:val="22"/>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E" w14:textId="77777777" w:rsidR="00E66558" w:rsidRDefault="00E66558">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77777777" w:rsidR="00E66558" w:rsidRDefault="00E66558">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F53CA9E" w:rsidR="00E66558" w:rsidRDefault="3D125DB5">
      <w:pPr>
        <w:spacing w:before="240" w:after="120"/>
      </w:pPr>
      <w:r>
        <w:t>Budgeted cost: £</w:t>
      </w:r>
      <w:r w:rsidR="0825829F">
        <w:t>5</w:t>
      </w:r>
      <w:r w:rsidR="76174DD7">
        <w:t>0,000</w:t>
      </w:r>
    </w:p>
    <w:tbl>
      <w:tblPr>
        <w:tblW w:w="5000" w:type="pct"/>
        <w:tblCellMar>
          <w:left w:w="10" w:type="dxa"/>
          <w:right w:w="10" w:type="dxa"/>
        </w:tblCellMar>
        <w:tblLook w:val="04A0" w:firstRow="1" w:lastRow="0" w:firstColumn="1" w:lastColumn="0" w:noHBand="0" w:noVBand="1"/>
      </w:tblPr>
      <w:tblGrid>
        <w:gridCol w:w="886"/>
        <w:gridCol w:w="7687"/>
        <w:gridCol w:w="913"/>
      </w:tblGrid>
      <w:tr w:rsidR="00E66558" w14:paraId="2A7D5537" w14:textId="77777777" w:rsidTr="005D584B">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7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5D584B">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0E2E508B" w:rsidR="00E66558" w:rsidRPr="008B7623" w:rsidRDefault="00DB0976" w:rsidP="614E7829">
            <w:pPr>
              <w:pStyle w:val="TableRow"/>
              <w:rPr>
                <w:sz w:val="22"/>
                <w:szCs w:val="22"/>
              </w:rPr>
            </w:pPr>
            <w:r w:rsidRPr="614E7829">
              <w:rPr>
                <w:sz w:val="22"/>
                <w:szCs w:val="22"/>
              </w:rPr>
              <w:t>Re</w:t>
            </w:r>
            <w:r w:rsidR="008B7623" w:rsidRPr="614E7829">
              <w:rPr>
                <w:sz w:val="22"/>
                <w:szCs w:val="22"/>
              </w:rPr>
              <w:t>-e</w:t>
            </w:r>
            <w:r w:rsidRPr="614E7829">
              <w:rPr>
                <w:sz w:val="22"/>
                <w:szCs w:val="22"/>
              </w:rPr>
              <w:t xml:space="preserve">stablish robust culture around </w:t>
            </w:r>
            <w:r w:rsidRPr="614E7829">
              <w:rPr>
                <w:sz w:val="22"/>
                <w:szCs w:val="22"/>
              </w:rPr>
              <w:lastRenderedPageBreak/>
              <w:t>good attendance</w:t>
            </w:r>
            <w:r w:rsidR="0054509E" w:rsidRPr="614E7829">
              <w:rPr>
                <w:sz w:val="22"/>
                <w:szCs w:val="22"/>
              </w:rPr>
              <w:t xml:space="preserve"> through ensuring that an early approach for attendance is followed consistently which results in more children being in school more of the time</w:t>
            </w:r>
            <w:r w:rsidR="008B7623" w:rsidRPr="614E7829">
              <w:rPr>
                <w:sz w:val="22"/>
                <w:szCs w:val="22"/>
              </w:rPr>
              <w:t>.</w:t>
            </w:r>
          </w:p>
        </w:tc>
        <w:tc>
          <w:tcPr>
            <w:tcW w:w="7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DE2A2" w14:textId="66B6A850" w:rsidR="00E66558" w:rsidRDefault="00DB0976" w:rsidP="2E851176">
            <w:pPr>
              <w:pStyle w:val="TableRowCentered"/>
              <w:jc w:val="left"/>
              <w:rPr>
                <w:sz w:val="22"/>
                <w:szCs w:val="22"/>
              </w:rPr>
            </w:pPr>
            <w:r w:rsidRPr="2E851176">
              <w:rPr>
                <w:sz w:val="22"/>
                <w:szCs w:val="22"/>
              </w:rPr>
              <w:lastRenderedPageBreak/>
              <w:t>EEF</w:t>
            </w:r>
            <w:r w:rsidR="2AB10CAE" w:rsidRPr="2E851176">
              <w:rPr>
                <w:sz w:val="22"/>
                <w:szCs w:val="22"/>
              </w:rPr>
              <w:t xml:space="preserve"> guidance, </w:t>
            </w:r>
            <w:hyperlink r:id="rId10">
              <w:r w:rsidR="7D3DE2EC" w:rsidRPr="2E851176">
                <w:rPr>
                  <w:rStyle w:val="Hyperlink"/>
                </w:rPr>
                <w:t>https://educationendowmentfoundation.org.uk/public/files/Publications/Behaviour/EEF_Improving_behaviour_in_schools_Report.pdf</w:t>
              </w:r>
            </w:hyperlink>
          </w:p>
          <w:p w14:paraId="54242493" w14:textId="665623CB" w:rsidR="00E66558" w:rsidRDefault="00E66558" w:rsidP="2E851176">
            <w:pPr>
              <w:pStyle w:val="TableRowCentered"/>
              <w:ind w:left="0"/>
              <w:jc w:val="left"/>
              <w:rPr>
                <w:color w:val="0D0D0D" w:themeColor="text1" w:themeTint="F2"/>
                <w:szCs w:val="24"/>
              </w:rPr>
            </w:pPr>
          </w:p>
          <w:p w14:paraId="43CDEE86" w14:textId="342D0C31" w:rsidR="00E66558" w:rsidRDefault="7D3DE2EC" w:rsidP="2E851176">
            <w:pPr>
              <w:pStyle w:val="TableRowCentered"/>
              <w:jc w:val="left"/>
              <w:rPr>
                <w:sz w:val="22"/>
                <w:szCs w:val="22"/>
              </w:rPr>
            </w:pPr>
            <w:r w:rsidRPr="2E851176">
              <w:rPr>
                <w:sz w:val="22"/>
                <w:szCs w:val="22"/>
              </w:rPr>
              <w:t>A</w:t>
            </w:r>
            <w:r w:rsidR="2AB10CAE" w:rsidRPr="2E851176">
              <w:rPr>
                <w:sz w:val="22"/>
                <w:szCs w:val="22"/>
              </w:rPr>
              <w:t xml:space="preserve">ttendance best practice, </w:t>
            </w:r>
            <w:r w:rsidR="60B627A2" w:rsidRPr="2E851176">
              <w:rPr>
                <w:sz w:val="22"/>
                <w:szCs w:val="22"/>
              </w:rPr>
              <w:t>Improving school attendance: support for schools and local authorities (DfE guidance 2021)</w:t>
            </w:r>
          </w:p>
          <w:p w14:paraId="2A7D553D" w14:textId="0CB1E7DA" w:rsidR="00E66558" w:rsidRDefault="23A90E8E" w:rsidP="2E851176">
            <w:pPr>
              <w:pStyle w:val="TableRowCentered"/>
              <w:jc w:val="left"/>
              <w:rPr>
                <w:color w:val="0D0D0D" w:themeColor="text1" w:themeTint="F2"/>
                <w:szCs w:val="24"/>
              </w:rPr>
            </w:pPr>
            <w:hyperlink r:id="rId11">
              <w:r w:rsidRPr="2E851176">
                <w:rPr>
                  <w:rStyle w:val="Hyperlink"/>
                </w:rPr>
                <w:t>Improving school attendance: support for schools and local authorities - GOV.UK (www.gov.uk)</w:t>
              </w:r>
            </w:hyperlink>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8C45B1F" w:rsidR="00E66558" w:rsidRDefault="00C21BBB">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0AFA72B7" w:rsidR="00E66558" w:rsidRDefault="009D71E8" w:rsidP="7B8DBCF5">
      <w:pPr>
        <w:rPr>
          <w:i/>
          <w:iCs/>
          <w:color w:val="104F75"/>
          <w:sz w:val="28"/>
          <w:szCs w:val="28"/>
        </w:rPr>
      </w:pPr>
      <w:r w:rsidRPr="7B8DBCF5">
        <w:rPr>
          <w:b/>
          <w:bCs/>
          <w:color w:val="104F75"/>
          <w:sz w:val="28"/>
          <w:szCs w:val="28"/>
        </w:rPr>
        <w:t xml:space="preserve">Total budgeted cost: </w:t>
      </w:r>
      <w:r w:rsidR="00832203">
        <w:rPr>
          <w:rStyle w:val="normaltextrun"/>
          <w:rFonts w:cs="Arial"/>
          <w:b/>
          <w:bCs/>
          <w:sz w:val="28"/>
          <w:szCs w:val="28"/>
          <w:shd w:val="clear" w:color="auto" w:fill="FFFFFF"/>
        </w:rPr>
        <w:t>£718,410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53A4264" w:rsidR="00E66558" w:rsidRDefault="009D71E8">
      <w:r>
        <w:t>This details the impact that our pupil premium activity had on pupils in the 202</w:t>
      </w:r>
      <w:r w:rsidR="00571217">
        <w:t>3</w:t>
      </w:r>
      <w:r>
        <w:t xml:space="preserve"> to 202</w:t>
      </w:r>
      <w:r w:rsidR="00571217">
        <w:t>4</w:t>
      </w:r>
      <w:r>
        <w:t xml:space="preserve"> academic year.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6300"/>
      </w:tblGrid>
      <w:tr w:rsidR="003F55AA" w:rsidRPr="003F55AA" w14:paraId="280B3F1B" w14:textId="77777777" w:rsidTr="003F55AA">
        <w:trPr>
          <w:trHeight w:val="300"/>
        </w:trPr>
        <w:tc>
          <w:tcPr>
            <w:tcW w:w="3180" w:type="dxa"/>
            <w:tcBorders>
              <w:top w:val="single" w:sz="6" w:space="0" w:color="000000"/>
              <w:left w:val="single" w:sz="6" w:space="0" w:color="000000"/>
              <w:bottom w:val="single" w:sz="6" w:space="0" w:color="000000"/>
              <w:right w:val="single" w:sz="6" w:space="0" w:color="000000"/>
            </w:tcBorders>
            <w:shd w:val="clear" w:color="auto" w:fill="D8E2E9"/>
            <w:hideMark/>
          </w:tcPr>
          <w:p w14:paraId="7D618C6A" w14:textId="77777777" w:rsidR="003F55AA" w:rsidRPr="003F55AA" w:rsidRDefault="003F55AA" w:rsidP="003F55AA">
            <w:pPr>
              <w:suppressAutoHyphens w:val="0"/>
              <w:autoSpaceDN/>
              <w:spacing w:after="0" w:line="240" w:lineRule="auto"/>
              <w:ind w:left="45" w:right="45"/>
              <w:textAlignment w:val="baseline"/>
              <w:rPr>
                <w:rFonts w:ascii="Segoe UI" w:hAnsi="Segoe UI" w:cs="Segoe UI"/>
                <w:b/>
                <w:bCs/>
                <w:sz w:val="18"/>
                <w:szCs w:val="18"/>
              </w:rPr>
            </w:pPr>
            <w:r w:rsidRPr="003F55AA">
              <w:rPr>
                <w:rFonts w:cs="Arial"/>
                <w:b/>
                <w:bCs/>
              </w:rPr>
              <w:t>Intended outcome </w:t>
            </w:r>
          </w:p>
        </w:tc>
        <w:tc>
          <w:tcPr>
            <w:tcW w:w="6300" w:type="dxa"/>
            <w:tcBorders>
              <w:top w:val="single" w:sz="6" w:space="0" w:color="000000"/>
              <w:left w:val="single" w:sz="6" w:space="0" w:color="000000"/>
              <w:bottom w:val="single" w:sz="6" w:space="0" w:color="000000"/>
              <w:right w:val="single" w:sz="6" w:space="0" w:color="000000"/>
            </w:tcBorders>
            <w:shd w:val="clear" w:color="auto" w:fill="D8E2E9"/>
            <w:hideMark/>
          </w:tcPr>
          <w:p w14:paraId="2254BE0A" w14:textId="77777777" w:rsidR="003F55AA" w:rsidRPr="003F55AA" w:rsidRDefault="003F55AA" w:rsidP="003F55AA">
            <w:pPr>
              <w:suppressAutoHyphens w:val="0"/>
              <w:autoSpaceDN/>
              <w:spacing w:after="0" w:line="240" w:lineRule="auto"/>
              <w:ind w:left="45" w:right="45"/>
              <w:textAlignment w:val="baseline"/>
              <w:rPr>
                <w:rFonts w:ascii="Segoe UI" w:hAnsi="Segoe UI" w:cs="Segoe UI"/>
                <w:b/>
                <w:bCs/>
                <w:sz w:val="18"/>
                <w:szCs w:val="18"/>
              </w:rPr>
            </w:pPr>
            <w:r w:rsidRPr="003F55AA">
              <w:rPr>
                <w:rFonts w:cs="Arial"/>
                <w:b/>
                <w:bCs/>
              </w:rPr>
              <w:t>Impact </w:t>
            </w:r>
          </w:p>
        </w:tc>
      </w:tr>
      <w:tr w:rsidR="003F55AA" w:rsidRPr="003F55AA" w14:paraId="4CF0495E" w14:textId="77777777" w:rsidTr="003F55AA">
        <w:trPr>
          <w:trHeight w:val="300"/>
        </w:trPr>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5280AE7F" w14:textId="77777777" w:rsidR="003F55AA" w:rsidRPr="00665983" w:rsidRDefault="003F55AA" w:rsidP="003F55AA">
            <w:pPr>
              <w:suppressAutoHyphens w:val="0"/>
              <w:autoSpaceDN/>
              <w:spacing w:after="0" w:line="240" w:lineRule="auto"/>
              <w:ind w:left="45" w:right="45"/>
              <w:textAlignment w:val="baseline"/>
              <w:rPr>
                <w:rFonts w:ascii="Segoe UI" w:hAnsi="Segoe UI" w:cs="Segoe UI"/>
                <w:b/>
                <w:bCs/>
                <w:sz w:val="18"/>
                <w:szCs w:val="18"/>
              </w:rPr>
            </w:pPr>
            <w:r w:rsidRPr="00665983">
              <w:rPr>
                <w:rFonts w:cs="Arial"/>
                <w:b/>
                <w:bCs/>
              </w:rPr>
              <w:t>A culture of good attendance is re-established across the school trust </w:t>
            </w:r>
          </w:p>
        </w:tc>
        <w:tc>
          <w:tcPr>
            <w:tcW w:w="6300" w:type="dxa"/>
            <w:tcBorders>
              <w:top w:val="single" w:sz="6" w:space="0" w:color="000000"/>
              <w:left w:val="single" w:sz="6" w:space="0" w:color="000000"/>
              <w:bottom w:val="single" w:sz="6" w:space="0" w:color="000000"/>
              <w:right w:val="single" w:sz="6" w:space="0" w:color="000000"/>
            </w:tcBorders>
            <w:shd w:val="clear" w:color="auto" w:fill="auto"/>
            <w:hideMark/>
          </w:tcPr>
          <w:p w14:paraId="5E48448C" w14:textId="6163E02E" w:rsidR="003F55AA" w:rsidRPr="007871E2" w:rsidRDefault="003F55AA" w:rsidP="003F55AA">
            <w:pPr>
              <w:suppressAutoHyphens w:val="0"/>
              <w:autoSpaceDN/>
              <w:spacing w:after="0" w:line="240" w:lineRule="auto"/>
              <w:ind w:left="45" w:right="45"/>
              <w:textAlignment w:val="baseline"/>
              <w:rPr>
                <w:rFonts w:cs="Arial"/>
                <w:sz w:val="22"/>
                <w:szCs w:val="22"/>
              </w:rPr>
            </w:pPr>
            <w:r w:rsidRPr="007871E2">
              <w:rPr>
                <w:rFonts w:cs="Arial"/>
                <w:sz w:val="22"/>
                <w:szCs w:val="22"/>
              </w:rPr>
              <w:t>The school</w:t>
            </w:r>
            <w:r w:rsidR="007871E2">
              <w:rPr>
                <w:rFonts w:cs="Arial"/>
                <w:sz w:val="22"/>
                <w:szCs w:val="22"/>
              </w:rPr>
              <w:t xml:space="preserve">’s </w:t>
            </w:r>
            <w:r w:rsidRPr="007871E2">
              <w:rPr>
                <w:rFonts w:cs="Arial"/>
                <w:sz w:val="22"/>
                <w:szCs w:val="22"/>
              </w:rPr>
              <w:t>attendance leadership team</w:t>
            </w:r>
            <w:r w:rsidR="007871E2">
              <w:rPr>
                <w:rFonts w:cs="Arial"/>
                <w:sz w:val="22"/>
                <w:szCs w:val="22"/>
              </w:rPr>
              <w:t xml:space="preserve"> </w:t>
            </w:r>
            <w:r w:rsidRPr="007871E2">
              <w:rPr>
                <w:rFonts w:cs="Arial"/>
                <w:sz w:val="22"/>
                <w:szCs w:val="22"/>
              </w:rPr>
              <w:t>support our families at the time of need to support an increase in understanding of strong attendance, the effects of poor attendance on the child and helps to remove barriers for the family through the school or external early help where possible. The school attendance leadership team have worked to develop a clear strategy for tackling attendance across the school with fortnightly meetings to identify target pupils before they fall. The attendance team also conduct a summary meeting each half-term to analyse trends in attendance for groups of pupils and make changes accordingly.</w:t>
            </w:r>
          </w:p>
          <w:p w14:paraId="3B3B0693" w14:textId="77777777" w:rsidR="003F55AA" w:rsidRPr="007871E2" w:rsidRDefault="003F55AA" w:rsidP="003F55AA">
            <w:pPr>
              <w:suppressAutoHyphens w:val="0"/>
              <w:autoSpaceDN/>
              <w:spacing w:after="0" w:line="240" w:lineRule="auto"/>
              <w:ind w:left="45" w:right="45"/>
              <w:textAlignment w:val="baseline"/>
              <w:rPr>
                <w:rFonts w:cs="Arial"/>
                <w:sz w:val="22"/>
                <w:szCs w:val="22"/>
              </w:rPr>
            </w:pPr>
            <w:r w:rsidRPr="007871E2">
              <w:rPr>
                <w:rFonts w:cs="Arial"/>
                <w:sz w:val="22"/>
                <w:szCs w:val="22"/>
              </w:rPr>
              <w:t>The impact of the actions of the attendance team is demonstrable in the attendance data with all groups broadly in line:</w:t>
            </w:r>
          </w:p>
          <w:p w14:paraId="0E34839F" w14:textId="32E62761" w:rsidR="00DE051B" w:rsidRPr="00BE1458" w:rsidRDefault="00DE051B" w:rsidP="003F55AA">
            <w:pPr>
              <w:suppressAutoHyphens w:val="0"/>
              <w:autoSpaceDN/>
              <w:spacing w:after="0" w:line="240" w:lineRule="auto"/>
              <w:ind w:left="45" w:right="45"/>
              <w:textAlignment w:val="baseline"/>
              <w:rPr>
                <w:rFonts w:cs="Arial"/>
                <w:sz w:val="22"/>
                <w:szCs w:val="22"/>
              </w:rPr>
            </w:pPr>
            <w:r w:rsidRPr="00BE1458">
              <w:rPr>
                <w:rFonts w:cs="Arial"/>
                <w:sz w:val="22"/>
                <w:szCs w:val="22"/>
              </w:rPr>
              <w:t>Whole school attendance: 9</w:t>
            </w:r>
            <w:r w:rsidR="00BE1458" w:rsidRPr="00BE1458">
              <w:rPr>
                <w:rFonts w:cs="Arial"/>
                <w:sz w:val="22"/>
                <w:szCs w:val="22"/>
              </w:rPr>
              <w:t>4.7</w:t>
            </w:r>
            <w:r w:rsidRPr="00BE1458">
              <w:rPr>
                <w:rFonts w:cs="Arial"/>
                <w:sz w:val="22"/>
                <w:szCs w:val="22"/>
              </w:rPr>
              <w:t>%</w:t>
            </w:r>
          </w:p>
          <w:p w14:paraId="2DB3271D" w14:textId="4E22E76F" w:rsidR="003F55AA" w:rsidRPr="00F148FF" w:rsidRDefault="00DE051B" w:rsidP="00F148FF">
            <w:pPr>
              <w:suppressAutoHyphens w:val="0"/>
              <w:autoSpaceDN/>
              <w:spacing w:after="0" w:line="240" w:lineRule="auto"/>
              <w:ind w:left="45" w:right="45"/>
              <w:textAlignment w:val="baseline"/>
              <w:rPr>
                <w:rFonts w:cs="Arial"/>
                <w:sz w:val="22"/>
                <w:szCs w:val="22"/>
              </w:rPr>
            </w:pPr>
            <w:r w:rsidRPr="00BE1458">
              <w:rPr>
                <w:rFonts w:cs="Arial"/>
                <w:sz w:val="22"/>
                <w:szCs w:val="22"/>
              </w:rPr>
              <w:t>Pupil premium attendance 9</w:t>
            </w:r>
            <w:r w:rsidR="00BE1458" w:rsidRPr="00BE1458">
              <w:rPr>
                <w:rFonts w:cs="Arial"/>
                <w:sz w:val="22"/>
                <w:szCs w:val="22"/>
              </w:rPr>
              <w:t>4.1</w:t>
            </w:r>
            <w:r w:rsidRPr="00BE1458">
              <w:rPr>
                <w:rFonts w:cs="Arial"/>
                <w:sz w:val="22"/>
                <w:szCs w:val="22"/>
              </w:rPr>
              <w:t>%</w:t>
            </w:r>
          </w:p>
        </w:tc>
      </w:tr>
      <w:tr w:rsidR="003F55AA" w:rsidRPr="003F55AA" w14:paraId="255A6857" w14:textId="77777777" w:rsidTr="003F55AA">
        <w:trPr>
          <w:trHeight w:val="300"/>
        </w:trPr>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393B8014" w14:textId="77777777" w:rsidR="003F55AA" w:rsidRPr="00665983" w:rsidRDefault="003F55AA" w:rsidP="003F55AA">
            <w:pPr>
              <w:suppressAutoHyphens w:val="0"/>
              <w:autoSpaceDN/>
              <w:spacing w:after="0" w:line="240" w:lineRule="auto"/>
              <w:ind w:left="45" w:right="45"/>
              <w:textAlignment w:val="baseline"/>
              <w:rPr>
                <w:rFonts w:ascii="Segoe UI" w:hAnsi="Segoe UI" w:cs="Segoe UI"/>
                <w:b/>
                <w:bCs/>
                <w:sz w:val="18"/>
                <w:szCs w:val="18"/>
              </w:rPr>
            </w:pPr>
            <w:r w:rsidRPr="00665983">
              <w:rPr>
                <w:rFonts w:cs="Arial"/>
                <w:b/>
                <w:bCs/>
                <w:sz w:val="22"/>
                <w:szCs w:val="22"/>
              </w:rPr>
              <w:t>Gaps in early reading outcomes for all eligible pupils are closed. The bottom 20% in reading are targeted in a timely way to ensure that all pupils are reading by 6. </w:t>
            </w:r>
          </w:p>
        </w:tc>
        <w:tc>
          <w:tcPr>
            <w:tcW w:w="6300" w:type="dxa"/>
            <w:tcBorders>
              <w:top w:val="single" w:sz="6" w:space="0" w:color="000000"/>
              <w:left w:val="single" w:sz="6" w:space="0" w:color="000000"/>
              <w:bottom w:val="single" w:sz="6" w:space="0" w:color="000000"/>
              <w:right w:val="single" w:sz="6" w:space="0" w:color="000000"/>
            </w:tcBorders>
            <w:shd w:val="clear" w:color="auto" w:fill="auto"/>
            <w:hideMark/>
          </w:tcPr>
          <w:p w14:paraId="32E22437" w14:textId="1281A80A" w:rsidR="003F55AA" w:rsidRPr="00665983" w:rsidRDefault="00DE051B" w:rsidP="003F55AA">
            <w:pPr>
              <w:suppressAutoHyphens w:val="0"/>
              <w:autoSpaceDN/>
              <w:spacing w:after="0" w:line="240" w:lineRule="auto"/>
              <w:ind w:left="45" w:right="45"/>
              <w:textAlignment w:val="baseline"/>
              <w:rPr>
                <w:rFonts w:cs="Arial"/>
                <w:sz w:val="22"/>
                <w:szCs w:val="22"/>
              </w:rPr>
            </w:pPr>
            <w:r w:rsidRPr="00665983">
              <w:rPr>
                <w:rFonts w:cs="Arial"/>
                <w:sz w:val="22"/>
                <w:szCs w:val="22"/>
              </w:rPr>
              <w:t>We have maintained a closed gap</w:t>
            </w:r>
            <w:r w:rsidR="003F55AA" w:rsidRPr="00665983">
              <w:rPr>
                <w:rFonts w:cs="Arial"/>
                <w:sz w:val="22"/>
                <w:szCs w:val="22"/>
              </w:rPr>
              <w:t xml:space="preserve"> this year with </w:t>
            </w:r>
            <w:r w:rsidR="00665983" w:rsidRPr="00665983">
              <w:rPr>
                <w:rFonts w:cs="Arial"/>
                <w:sz w:val="22"/>
                <w:szCs w:val="22"/>
              </w:rPr>
              <w:t>80</w:t>
            </w:r>
            <w:r w:rsidR="003F55AA" w:rsidRPr="00665983">
              <w:rPr>
                <w:rFonts w:cs="Arial"/>
                <w:sz w:val="22"/>
                <w:szCs w:val="22"/>
              </w:rPr>
              <w:t xml:space="preserve">% of eligible PP pupils children achieving the Year 1 Phonics Screening Test pass mark </w:t>
            </w:r>
            <w:r w:rsidR="00263503">
              <w:rPr>
                <w:rFonts w:cs="Arial"/>
                <w:sz w:val="22"/>
                <w:szCs w:val="22"/>
              </w:rPr>
              <w:t>(</w:t>
            </w:r>
            <w:r w:rsidR="003F55AA" w:rsidRPr="00665983">
              <w:rPr>
                <w:rFonts w:cs="Arial"/>
                <w:sz w:val="22"/>
                <w:szCs w:val="22"/>
              </w:rPr>
              <w:t xml:space="preserve">above </w:t>
            </w:r>
            <w:r w:rsidR="00AA5EEE">
              <w:rPr>
                <w:rFonts w:cs="Arial"/>
                <w:sz w:val="22"/>
                <w:szCs w:val="22"/>
              </w:rPr>
              <w:t xml:space="preserve">PP </w:t>
            </w:r>
            <w:r w:rsidR="00263503">
              <w:rPr>
                <w:rFonts w:cs="Arial"/>
                <w:sz w:val="22"/>
                <w:szCs w:val="22"/>
              </w:rPr>
              <w:t>n</w:t>
            </w:r>
            <w:r w:rsidR="003F55AA" w:rsidRPr="00665983">
              <w:rPr>
                <w:rFonts w:cs="Arial"/>
                <w:sz w:val="22"/>
                <w:szCs w:val="22"/>
              </w:rPr>
              <w:t>ational</w:t>
            </w:r>
            <w:r w:rsidR="00521222">
              <w:rPr>
                <w:rFonts w:cs="Arial"/>
                <w:sz w:val="22"/>
                <w:szCs w:val="22"/>
              </w:rPr>
              <w:t>s</w:t>
            </w:r>
            <w:r w:rsidR="009F6F2F">
              <w:rPr>
                <w:rFonts w:cs="Arial"/>
                <w:sz w:val="22"/>
                <w:szCs w:val="22"/>
              </w:rPr>
              <w:t xml:space="preserve"> 68</w:t>
            </w:r>
            <w:r w:rsidR="00263503">
              <w:rPr>
                <w:rFonts w:cs="Arial"/>
                <w:sz w:val="22"/>
                <w:szCs w:val="22"/>
              </w:rPr>
              <w:t>%).</w:t>
            </w:r>
            <w:r w:rsidR="003F55AA" w:rsidRPr="00665983">
              <w:rPr>
                <w:rFonts w:cs="Arial"/>
                <w:sz w:val="22"/>
                <w:szCs w:val="22"/>
              </w:rPr>
              <w:t xml:space="preserve"> The reading leader has ensured that the teaching of reading is consistently strong and ongoing monitoring ensures that rapid intervention is put in place to close gaps swiftly. Our reading leader in school is a specialist reading teacher working as part of the Ilsham English Hub and supports staff with professional development and coaching to ensure that teaching and learning is the highest quality and all eligible pupils, including the bottom 20%, make progress from their starting point. There are additional 1:1 interventions daily for children identified in the bottom 20% to close their bespoke gaps in knowledge and help them to make accelerated progress. </w:t>
            </w:r>
            <w:r w:rsidRPr="00665983">
              <w:rPr>
                <w:rFonts w:cs="Arial"/>
                <w:sz w:val="22"/>
                <w:szCs w:val="22"/>
              </w:rPr>
              <w:t>We work closely with an external Early Reading leader to quality assure our approach and ensure that our provision is tailored to supporting the needs of all pupils.</w:t>
            </w:r>
            <w:r w:rsidR="003F55AA" w:rsidRPr="00665983">
              <w:rPr>
                <w:rFonts w:cs="Arial"/>
                <w:sz w:val="22"/>
                <w:szCs w:val="22"/>
              </w:rPr>
              <w:t>  </w:t>
            </w:r>
          </w:p>
          <w:p w14:paraId="143172B1" w14:textId="4E4EC9B0" w:rsidR="00381D39" w:rsidRPr="00521222" w:rsidRDefault="00381D39" w:rsidP="003F55AA">
            <w:pPr>
              <w:suppressAutoHyphens w:val="0"/>
              <w:autoSpaceDN/>
              <w:spacing w:after="0" w:line="240" w:lineRule="auto"/>
              <w:ind w:left="45" w:right="45"/>
              <w:textAlignment w:val="baseline"/>
              <w:rPr>
                <w:rFonts w:cs="Arial"/>
                <w:sz w:val="22"/>
                <w:szCs w:val="22"/>
              </w:rPr>
            </w:pPr>
            <w:r>
              <w:rPr>
                <w:rFonts w:cs="Arial"/>
                <w:sz w:val="22"/>
                <w:szCs w:val="22"/>
              </w:rPr>
              <w:t>202</w:t>
            </w:r>
            <w:r w:rsidR="00B232D9">
              <w:rPr>
                <w:rFonts w:cs="Arial"/>
                <w:sz w:val="22"/>
                <w:szCs w:val="22"/>
              </w:rPr>
              <w:t>3</w:t>
            </w:r>
            <w:r>
              <w:rPr>
                <w:rFonts w:cs="Arial"/>
                <w:sz w:val="22"/>
                <w:szCs w:val="22"/>
              </w:rPr>
              <w:t>/</w:t>
            </w:r>
            <w:r w:rsidRPr="00521222">
              <w:rPr>
                <w:rFonts w:cs="Arial"/>
                <w:sz w:val="22"/>
                <w:szCs w:val="22"/>
              </w:rPr>
              <w:t>2</w:t>
            </w:r>
            <w:r w:rsidR="00B232D9" w:rsidRPr="00521222">
              <w:rPr>
                <w:rFonts w:cs="Arial"/>
                <w:sz w:val="22"/>
                <w:szCs w:val="22"/>
              </w:rPr>
              <w:t>4</w:t>
            </w:r>
            <w:r w:rsidRPr="00521222">
              <w:rPr>
                <w:rFonts w:cs="Arial"/>
                <w:sz w:val="22"/>
                <w:szCs w:val="22"/>
              </w:rPr>
              <w:t xml:space="preserve"> outcomes:</w:t>
            </w:r>
          </w:p>
          <w:p w14:paraId="2B5A9EFA" w14:textId="554346EF" w:rsidR="00381D39" w:rsidRPr="00521222" w:rsidRDefault="00381D39" w:rsidP="003F55AA">
            <w:pPr>
              <w:suppressAutoHyphens w:val="0"/>
              <w:autoSpaceDN/>
              <w:spacing w:after="0" w:line="240" w:lineRule="auto"/>
              <w:ind w:left="45" w:right="45"/>
              <w:textAlignment w:val="baseline"/>
              <w:rPr>
                <w:rFonts w:cs="Arial"/>
                <w:sz w:val="22"/>
                <w:szCs w:val="22"/>
              </w:rPr>
            </w:pPr>
            <w:r w:rsidRPr="00521222">
              <w:rPr>
                <w:rFonts w:cs="Arial"/>
                <w:sz w:val="22"/>
                <w:szCs w:val="22"/>
              </w:rPr>
              <w:t xml:space="preserve">Y1 PSC All </w:t>
            </w:r>
            <w:r w:rsidR="00895D25" w:rsidRPr="00521222">
              <w:rPr>
                <w:rFonts w:cs="Arial"/>
                <w:sz w:val="22"/>
                <w:szCs w:val="22"/>
              </w:rPr>
              <w:t>80</w:t>
            </w:r>
            <w:r w:rsidRPr="00521222">
              <w:rPr>
                <w:rFonts w:cs="Arial"/>
                <w:sz w:val="22"/>
                <w:szCs w:val="22"/>
              </w:rPr>
              <w:t xml:space="preserve">% and PP </w:t>
            </w:r>
            <w:r w:rsidR="00895D25" w:rsidRPr="00521222">
              <w:rPr>
                <w:rFonts w:cs="Arial"/>
                <w:sz w:val="22"/>
                <w:szCs w:val="22"/>
              </w:rPr>
              <w:t>80</w:t>
            </w:r>
            <w:r w:rsidRPr="00521222">
              <w:rPr>
                <w:rFonts w:cs="Arial"/>
                <w:sz w:val="22"/>
                <w:szCs w:val="22"/>
              </w:rPr>
              <w:t>%.</w:t>
            </w:r>
          </w:p>
          <w:p w14:paraId="3AAD4C71" w14:textId="34432002" w:rsidR="00381D39" w:rsidRPr="003F55AA" w:rsidRDefault="00381D39" w:rsidP="007871E2">
            <w:pPr>
              <w:suppressAutoHyphens w:val="0"/>
              <w:autoSpaceDN/>
              <w:spacing w:after="0" w:line="240" w:lineRule="auto"/>
              <w:ind w:left="45" w:right="45"/>
              <w:textAlignment w:val="baseline"/>
              <w:rPr>
                <w:rFonts w:ascii="Segoe UI" w:hAnsi="Segoe UI" w:cs="Segoe UI"/>
                <w:sz w:val="18"/>
                <w:szCs w:val="18"/>
              </w:rPr>
            </w:pPr>
            <w:r w:rsidRPr="00521222">
              <w:rPr>
                <w:rFonts w:cs="Arial"/>
                <w:sz w:val="22"/>
                <w:szCs w:val="22"/>
              </w:rPr>
              <w:t>End of KS1 PSC All 100%</w:t>
            </w:r>
            <w:r w:rsidR="003C4FBB">
              <w:rPr>
                <w:rFonts w:cs="Arial"/>
                <w:sz w:val="22"/>
                <w:szCs w:val="22"/>
              </w:rPr>
              <w:t xml:space="preserve"> PP 100%</w:t>
            </w:r>
          </w:p>
        </w:tc>
      </w:tr>
      <w:tr w:rsidR="003F55AA" w:rsidRPr="003F55AA" w14:paraId="1F65BD62" w14:textId="77777777" w:rsidTr="003F55AA">
        <w:trPr>
          <w:trHeight w:val="300"/>
        </w:trPr>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18618A8E" w14:textId="77777777" w:rsidR="003F55AA" w:rsidRPr="003F55AA" w:rsidRDefault="003F55AA" w:rsidP="003F55AA">
            <w:pPr>
              <w:suppressAutoHyphens w:val="0"/>
              <w:autoSpaceDN/>
              <w:spacing w:after="0" w:line="240" w:lineRule="auto"/>
              <w:ind w:left="45" w:right="45"/>
              <w:textAlignment w:val="baseline"/>
              <w:rPr>
                <w:rFonts w:ascii="Segoe UI" w:hAnsi="Segoe UI" w:cs="Segoe UI"/>
                <w:sz w:val="18"/>
                <w:szCs w:val="18"/>
              </w:rPr>
            </w:pPr>
            <w:r w:rsidRPr="00AA5EEE">
              <w:rPr>
                <w:rFonts w:cs="Arial"/>
                <w:b/>
                <w:bCs/>
                <w:sz w:val="22"/>
                <w:szCs w:val="22"/>
              </w:rPr>
              <w:t>Gaps in writing across the school trust for all eligible pupils are closed at both expected and greater depth</w:t>
            </w:r>
            <w:r w:rsidRPr="003F55AA">
              <w:rPr>
                <w:rFonts w:cs="Arial"/>
                <w:sz w:val="22"/>
                <w:szCs w:val="22"/>
              </w:rPr>
              <w:t>. </w:t>
            </w:r>
          </w:p>
        </w:tc>
        <w:tc>
          <w:tcPr>
            <w:tcW w:w="6300" w:type="dxa"/>
            <w:tcBorders>
              <w:top w:val="single" w:sz="6" w:space="0" w:color="000000"/>
              <w:left w:val="single" w:sz="6" w:space="0" w:color="000000"/>
              <w:bottom w:val="single" w:sz="6" w:space="0" w:color="000000"/>
              <w:right w:val="single" w:sz="6" w:space="0" w:color="000000"/>
            </w:tcBorders>
            <w:shd w:val="clear" w:color="auto" w:fill="auto"/>
            <w:hideMark/>
          </w:tcPr>
          <w:p w14:paraId="710D1EDB" w14:textId="70A626B6" w:rsidR="0003249E" w:rsidRPr="00B1105F" w:rsidRDefault="003F55AA" w:rsidP="00B1105F">
            <w:pPr>
              <w:suppressAutoHyphens w:val="0"/>
              <w:autoSpaceDN/>
              <w:spacing w:after="0" w:line="240" w:lineRule="auto"/>
              <w:ind w:left="45" w:right="45"/>
              <w:textAlignment w:val="baseline"/>
              <w:rPr>
                <w:rFonts w:cs="Arial"/>
                <w:sz w:val="22"/>
                <w:szCs w:val="22"/>
              </w:rPr>
            </w:pPr>
            <w:r w:rsidRPr="00B1105F">
              <w:rPr>
                <w:rFonts w:cs="Arial"/>
                <w:sz w:val="22"/>
                <w:szCs w:val="22"/>
              </w:rPr>
              <w:t xml:space="preserve">We are beginning to close the gap for eligible pupils achieving the standard in writing and impact has been seen this year from our new writing approach. The professional development for staff has focused on pedagogy, specifically modelling and scaffolding this year, </w:t>
            </w:r>
            <w:r w:rsidR="00340458" w:rsidRPr="00B1105F">
              <w:rPr>
                <w:rFonts w:cs="Arial"/>
                <w:sz w:val="22"/>
                <w:szCs w:val="22"/>
              </w:rPr>
              <w:t>as well as beginning to support teachers in ‘deepening the moment’ to enhance children’s writing</w:t>
            </w:r>
            <w:r w:rsidR="00946778">
              <w:rPr>
                <w:rFonts w:cs="Arial"/>
                <w:sz w:val="22"/>
                <w:szCs w:val="22"/>
              </w:rPr>
              <w:t xml:space="preserve"> with t</w:t>
            </w:r>
            <w:r w:rsidR="009B3AD9">
              <w:rPr>
                <w:rFonts w:cs="Arial"/>
                <w:sz w:val="22"/>
                <w:szCs w:val="22"/>
              </w:rPr>
              <w:t xml:space="preserve">eaching of writing in KS1 in </w:t>
            </w:r>
            <w:r w:rsidR="0037581E">
              <w:rPr>
                <w:rFonts w:cs="Arial"/>
                <w:sz w:val="22"/>
                <w:szCs w:val="22"/>
              </w:rPr>
              <w:t>addition</w:t>
            </w:r>
            <w:r w:rsidR="009B3AD9">
              <w:rPr>
                <w:rFonts w:cs="Arial"/>
                <w:sz w:val="22"/>
                <w:szCs w:val="22"/>
              </w:rPr>
              <w:t xml:space="preserve"> to </w:t>
            </w:r>
            <w:r w:rsidR="0037581E">
              <w:rPr>
                <w:rFonts w:cs="Arial"/>
                <w:sz w:val="22"/>
                <w:szCs w:val="22"/>
              </w:rPr>
              <w:t xml:space="preserve">the </w:t>
            </w:r>
            <w:r w:rsidR="00D6241B">
              <w:rPr>
                <w:rFonts w:cs="Arial"/>
                <w:sz w:val="22"/>
                <w:szCs w:val="22"/>
              </w:rPr>
              <w:t xml:space="preserve">daily SSP. </w:t>
            </w:r>
          </w:p>
        </w:tc>
      </w:tr>
      <w:tr w:rsidR="003F55AA" w:rsidRPr="003F55AA" w14:paraId="585B7D65" w14:textId="77777777" w:rsidTr="003F55AA">
        <w:trPr>
          <w:trHeight w:val="300"/>
        </w:trPr>
        <w:tc>
          <w:tcPr>
            <w:tcW w:w="3180" w:type="dxa"/>
            <w:tcBorders>
              <w:top w:val="single" w:sz="6" w:space="0" w:color="000000"/>
              <w:left w:val="single" w:sz="6" w:space="0" w:color="000000"/>
              <w:bottom w:val="single" w:sz="6" w:space="0" w:color="000000"/>
              <w:right w:val="single" w:sz="6" w:space="0" w:color="000000"/>
            </w:tcBorders>
            <w:shd w:val="clear" w:color="auto" w:fill="auto"/>
            <w:hideMark/>
          </w:tcPr>
          <w:p w14:paraId="1D1F1BF7" w14:textId="72924B87" w:rsidR="003F55AA" w:rsidRPr="00AA5EEE" w:rsidRDefault="003F55AA" w:rsidP="003F55AA">
            <w:pPr>
              <w:suppressAutoHyphens w:val="0"/>
              <w:autoSpaceDN/>
              <w:spacing w:after="0" w:line="240" w:lineRule="auto"/>
              <w:ind w:left="45" w:right="45"/>
              <w:textAlignment w:val="baseline"/>
              <w:rPr>
                <w:rFonts w:ascii="Segoe UI" w:hAnsi="Segoe UI" w:cs="Segoe UI"/>
                <w:b/>
                <w:bCs/>
                <w:sz w:val="18"/>
                <w:szCs w:val="18"/>
              </w:rPr>
            </w:pPr>
            <w:r w:rsidRPr="00AA5EEE">
              <w:rPr>
                <w:rFonts w:cs="Arial"/>
                <w:b/>
                <w:bCs/>
                <w:sz w:val="22"/>
                <w:szCs w:val="22"/>
              </w:rPr>
              <w:t xml:space="preserve">Family Support/Safeguarding Lead works with eligible pupils and families. Pupils and </w:t>
            </w:r>
            <w:r w:rsidRPr="00AA5EEE">
              <w:rPr>
                <w:rFonts w:cs="Arial"/>
                <w:b/>
                <w:bCs/>
                <w:sz w:val="22"/>
                <w:szCs w:val="22"/>
              </w:rPr>
              <w:lastRenderedPageBreak/>
              <w:t>families are supported in a timely way to ensure that disruption to education is minimised and barriers are overcome. </w:t>
            </w:r>
          </w:p>
        </w:tc>
        <w:tc>
          <w:tcPr>
            <w:tcW w:w="6300" w:type="dxa"/>
            <w:tcBorders>
              <w:top w:val="single" w:sz="6" w:space="0" w:color="000000"/>
              <w:left w:val="single" w:sz="6" w:space="0" w:color="000000"/>
              <w:bottom w:val="single" w:sz="6" w:space="0" w:color="000000"/>
              <w:right w:val="single" w:sz="6" w:space="0" w:color="000000"/>
            </w:tcBorders>
            <w:shd w:val="clear" w:color="auto" w:fill="auto"/>
            <w:hideMark/>
          </w:tcPr>
          <w:p w14:paraId="1A62498E" w14:textId="11505E80" w:rsidR="003F55AA" w:rsidRPr="00946778" w:rsidRDefault="003F55AA" w:rsidP="003F55AA">
            <w:pPr>
              <w:suppressAutoHyphens w:val="0"/>
              <w:autoSpaceDN/>
              <w:spacing w:after="0" w:line="240" w:lineRule="auto"/>
              <w:ind w:left="45" w:right="45"/>
              <w:textAlignment w:val="baseline"/>
              <w:rPr>
                <w:rFonts w:cs="Arial"/>
                <w:sz w:val="22"/>
                <w:szCs w:val="22"/>
              </w:rPr>
            </w:pPr>
            <w:r w:rsidRPr="00946778">
              <w:rPr>
                <w:rFonts w:cs="Arial"/>
                <w:sz w:val="22"/>
                <w:szCs w:val="22"/>
              </w:rPr>
              <w:lastRenderedPageBreak/>
              <w:t>The safeguarding leads, SENDCo and family suppor</w:t>
            </w:r>
            <w:r w:rsidR="002030BE">
              <w:rPr>
                <w:rFonts w:cs="Arial"/>
                <w:sz w:val="22"/>
                <w:szCs w:val="22"/>
              </w:rPr>
              <w:t xml:space="preserve">t </w:t>
            </w:r>
            <w:r w:rsidRPr="00946778">
              <w:rPr>
                <w:rFonts w:cs="Arial"/>
                <w:sz w:val="22"/>
                <w:szCs w:val="22"/>
              </w:rPr>
              <w:t xml:space="preserve">work closely together with each other to ensure that they have a clear understanding and joined up knowledge of the families, </w:t>
            </w:r>
            <w:r w:rsidRPr="00946778">
              <w:rPr>
                <w:rFonts w:cs="Arial"/>
                <w:sz w:val="22"/>
                <w:szCs w:val="22"/>
              </w:rPr>
              <w:lastRenderedPageBreak/>
              <w:t xml:space="preserve">children and behaviours in school. The school vision leads the deep understanding of </w:t>
            </w:r>
            <w:r w:rsidR="0003249E" w:rsidRPr="00946778">
              <w:rPr>
                <w:rFonts w:cs="Arial"/>
                <w:sz w:val="22"/>
                <w:szCs w:val="22"/>
              </w:rPr>
              <w:t>and championing of a culture of inclusion for all</w:t>
            </w:r>
            <w:r w:rsidRPr="00946778">
              <w:rPr>
                <w:rFonts w:cs="Arial"/>
                <w:sz w:val="22"/>
                <w:szCs w:val="22"/>
              </w:rPr>
              <w:t xml:space="preserve"> pupils and families</w:t>
            </w:r>
            <w:r w:rsidR="0003249E" w:rsidRPr="00946778">
              <w:rPr>
                <w:rFonts w:cs="Arial"/>
                <w:sz w:val="22"/>
                <w:szCs w:val="22"/>
              </w:rPr>
              <w:t xml:space="preserve">. </w:t>
            </w:r>
            <w:r w:rsidR="00762396">
              <w:rPr>
                <w:rFonts w:cs="Arial"/>
                <w:sz w:val="22"/>
                <w:szCs w:val="22"/>
              </w:rPr>
              <w:t>All our children attend dance workshops</w:t>
            </w:r>
            <w:r w:rsidR="00BF58C5">
              <w:rPr>
                <w:rFonts w:cs="Arial"/>
                <w:sz w:val="22"/>
                <w:szCs w:val="22"/>
              </w:rPr>
              <w:t xml:space="preserve"> and extra sporting opportunities outside of school such as </w:t>
            </w:r>
            <w:r w:rsidR="00B93DEE">
              <w:rPr>
                <w:rFonts w:cs="Arial"/>
                <w:sz w:val="22"/>
                <w:szCs w:val="22"/>
              </w:rPr>
              <w:t>r</w:t>
            </w:r>
            <w:r w:rsidR="00BF58C5">
              <w:rPr>
                <w:rFonts w:cs="Arial"/>
                <w:sz w:val="22"/>
                <w:szCs w:val="22"/>
              </w:rPr>
              <w:t>ugby and cricket</w:t>
            </w:r>
            <w:r w:rsidR="00B93DEE">
              <w:rPr>
                <w:rFonts w:cs="Arial"/>
                <w:sz w:val="22"/>
                <w:szCs w:val="22"/>
              </w:rPr>
              <w:t xml:space="preserve"> and beach school. </w:t>
            </w:r>
          </w:p>
          <w:p w14:paraId="1EB52BA0" w14:textId="05A36401" w:rsidR="0003249E" w:rsidRPr="00946778" w:rsidRDefault="00001288" w:rsidP="003F55AA">
            <w:pPr>
              <w:suppressAutoHyphens w:val="0"/>
              <w:autoSpaceDN/>
              <w:spacing w:after="0" w:line="240" w:lineRule="auto"/>
              <w:ind w:left="45" w:right="45"/>
              <w:textAlignment w:val="baseline"/>
              <w:rPr>
                <w:rFonts w:cs="Arial"/>
                <w:sz w:val="22"/>
                <w:szCs w:val="22"/>
              </w:rPr>
            </w:pPr>
            <w:r>
              <w:rPr>
                <w:rFonts w:cs="Arial"/>
                <w:sz w:val="22"/>
                <w:szCs w:val="22"/>
              </w:rPr>
              <w:t>Supporting our eligible families</w:t>
            </w:r>
            <w:r w:rsidR="00926F67">
              <w:rPr>
                <w:rFonts w:cs="Arial"/>
                <w:sz w:val="22"/>
                <w:szCs w:val="22"/>
              </w:rPr>
              <w:t xml:space="preserve">, particularly with accessing outside agencies for support </w:t>
            </w:r>
            <w:r w:rsidR="00B87C9B">
              <w:rPr>
                <w:rFonts w:cs="Arial"/>
                <w:sz w:val="22"/>
                <w:szCs w:val="22"/>
              </w:rPr>
              <w:t>(e.g. health and housing) r</w:t>
            </w:r>
            <w:r w:rsidR="00926F67">
              <w:rPr>
                <w:rFonts w:cs="Arial"/>
                <w:sz w:val="22"/>
                <w:szCs w:val="22"/>
              </w:rPr>
              <w:t>emains a key driver</w:t>
            </w:r>
            <w:r w:rsidR="0003249E" w:rsidRPr="00946778">
              <w:rPr>
                <w:rFonts w:cs="Arial"/>
                <w:sz w:val="22"/>
                <w:szCs w:val="22"/>
              </w:rPr>
              <w:t xml:space="preserve">. The impact of the work from the team is evident in the attendance of pupils despite the barriers </w:t>
            </w:r>
            <w:r w:rsidR="00D66989">
              <w:rPr>
                <w:rFonts w:cs="Arial"/>
                <w:sz w:val="22"/>
                <w:szCs w:val="22"/>
              </w:rPr>
              <w:t>families</w:t>
            </w:r>
            <w:r w:rsidR="0003249E" w:rsidRPr="00946778">
              <w:rPr>
                <w:rFonts w:cs="Arial"/>
                <w:sz w:val="22"/>
                <w:szCs w:val="22"/>
              </w:rPr>
              <w:t xml:space="preserve"> face. </w:t>
            </w:r>
          </w:p>
          <w:p w14:paraId="190AC691" w14:textId="69199094" w:rsidR="00236987" w:rsidRPr="00946778" w:rsidRDefault="00250DBD" w:rsidP="00236987">
            <w:pPr>
              <w:suppressAutoHyphens w:val="0"/>
              <w:autoSpaceDN/>
              <w:spacing w:after="0" w:line="240" w:lineRule="auto"/>
              <w:ind w:left="45" w:right="45"/>
              <w:textAlignment w:val="baseline"/>
              <w:rPr>
                <w:rFonts w:ascii="Segoe UI" w:hAnsi="Segoe UI" w:cs="Segoe UI"/>
                <w:sz w:val="18"/>
                <w:szCs w:val="18"/>
              </w:rPr>
            </w:pPr>
            <w:r w:rsidRPr="00946778">
              <w:rPr>
                <w:rFonts w:cs="Arial"/>
                <w:sz w:val="22"/>
                <w:szCs w:val="22"/>
              </w:rPr>
              <w:t>This support work dovetails with a whole school approach which ensures that we track and monitor the engagement of eligible pupils in extra-curricular activities so that we can provide more opportunities.</w:t>
            </w:r>
          </w:p>
          <w:p w14:paraId="4D809185" w14:textId="2C623129" w:rsidR="00236987" w:rsidRPr="00946778" w:rsidRDefault="00236987" w:rsidP="003F55AA">
            <w:pPr>
              <w:suppressAutoHyphens w:val="0"/>
              <w:autoSpaceDN/>
              <w:spacing w:after="0" w:line="240" w:lineRule="auto"/>
              <w:ind w:left="45" w:right="45"/>
              <w:textAlignment w:val="baseline"/>
              <w:rPr>
                <w:rFonts w:ascii="Segoe UI" w:hAnsi="Segoe UI" w:cs="Segoe UI"/>
                <w:sz w:val="18"/>
                <w:szCs w:val="18"/>
              </w:rPr>
            </w:pPr>
          </w:p>
        </w:tc>
      </w:tr>
      <w:bookmarkEnd w:id="14"/>
      <w:bookmarkEnd w:id="15"/>
      <w:bookmarkEnd w:id="16"/>
    </w:tbl>
    <w:p w14:paraId="2A7D5564" w14:textId="77777777" w:rsidR="00E66558" w:rsidRDefault="00E66558" w:rsidP="001179AE"/>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D9635" w14:textId="77777777" w:rsidR="0053358B" w:rsidRDefault="0053358B">
      <w:pPr>
        <w:spacing w:after="0" w:line="240" w:lineRule="auto"/>
      </w:pPr>
      <w:r>
        <w:separator/>
      </w:r>
    </w:p>
  </w:endnote>
  <w:endnote w:type="continuationSeparator" w:id="0">
    <w:p w14:paraId="03D64570" w14:textId="77777777" w:rsidR="0053358B" w:rsidRDefault="0053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4C06C7" w:rsidRDefault="009D71E8">
    <w:pPr>
      <w:pStyle w:val="Footer"/>
      <w:ind w:firstLine="4513"/>
    </w:pPr>
    <w:r>
      <w:rPr>
        <w:color w:val="2B579A"/>
        <w:shd w:val="clear" w:color="auto" w:fill="E6E6E6"/>
      </w:rPr>
      <w:fldChar w:fldCharType="begin"/>
    </w:r>
    <w:r>
      <w:instrText xml:space="preserve"> PAGE </w:instrText>
    </w:r>
    <w:r>
      <w:rPr>
        <w:color w:val="2B579A"/>
        <w:shd w:val="clear" w:color="auto" w:fill="E6E6E6"/>
      </w:rPr>
      <w:fldChar w:fldCharType="separate"/>
    </w:r>
    <w:r>
      <w:t>9</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846D" w14:textId="77777777" w:rsidR="0053358B" w:rsidRDefault="0053358B">
      <w:pPr>
        <w:spacing w:after="0" w:line="240" w:lineRule="auto"/>
      </w:pPr>
      <w:r>
        <w:separator/>
      </w:r>
    </w:p>
  </w:footnote>
  <w:footnote w:type="continuationSeparator" w:id="0">
    <w:p w14:paraId="3F39F854" w14:textId="77777777" w:rsidR="0053358B" w:rsidRDefault="0053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4C06C7" w:rsidRDefault="004C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8021756">
    <w:abstractNumId w:val="3"/>
  </w:num>
  <w:num w:numId="2" w16cid:durableId="704720927">
    <w:abstractNumId w:val="1"/>
  </w:num>
  <w:num w:numId="3" w16cid:durableId="2013875353">
    <w:abstractNumId w:val="4"/>
  </w:num>
  <w:num w:numId="4" w16cid:durableId="1986928460">
    <w:abstractNumId w:val="5"/>
  </w:num>
  <w:num w:numId="5" w16cid:durableId="1904019014">
    <w:abstractNumId w:val="0"/>
  </w:num>
  <w:num w:numId="6" w16cid:durableId="1537161350">
    <w:abstractNumId w:val="6"/>
  </w:num>
  <w:num w:numId="7" w16cid:durableId="1103721585">
    <w:abstractNumId w:val="8"/>
  </w:num>
  <w:num w:numId="8" w16cid:durableId="43800324">
    <w:abstractNumId w:val="12"/>
  </w:num>
  <w:num w:numId="9" w16cid:durableId="377171155">
    <w:abstractNumId w:val="10"/>
  </w:num>
  <w:num w:numId="10" w16cid:durableId="458766237">
    <w:abstractNumId w:val="9"/>
  </w:num>
  <w:num w:numId="11" w16cid:durableId="1265571085">
    <w:abstractNumId w:val="2"/>
  </w:num>
  <w:num w:numId="12" w16cid:durableId="844788157">
    <w:abstractNumId w:val="11"/>
  </w:num>
  <w:num w:numId="13" w16cid:durableId="908416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288"/>
    <w:rsid w:val="00003054"/>
    <w:rsid w:val="000071D3"/>
    <w:rsid w:val="00010144"/>
    <w:rsid w:val="00031030"/>
    <w:rsid w:val="0003249E"/>
    <w:rsid w:val="00066B73"/>
    <w:rsid w:val="000A4CF9"/>
    <w:rsid w:val="000E4F75"/>
    <w:rsid w:val="001179AE"/>
    <w:rsid w:val="00120AB1"/>
    <w:rsid w:val="001A2C8F"/>
    <w:rsid w:val="001D519C"/>
    <w:rsid w:val="001E2D27"/>
    <w:rsid w:val="002030BE"/>
    <w:rsid w:val="00223EA5"/>
    <w:rsid w:val="00236987"/>
    <w:rsid w:val="00250DBD"/>
    <w:rsid w:val="00263503"/>
    <w:rsid w:val="002A58DB"/>
    <w:rsid w:val="002C0128"/>
    <w:rsid w:val="002F20EA"/>
    <w:rsid w:val="00324052"/>
    <w:rsid w:val="00340458"/>
    <w:rsid w:val="0036195F"/>
    <w:rsid w:val="00363528"/>
    <w:rsid w:val="00374DA0"/>
    <w:rsid w:val="0037581E"/>
    <w:rsid w:val="00381D39"/>
    <w:rsid w:val="00386488"/>
    <w:rsid w:val="003952B5"/>
    <w:rsid w:val="003A1CC4"/>
    <w:rsid w:val="003B6A22"/>
    <w:rsid w:val="003C4FBB"/>
    <w:rsid w:val="003C5D5F"/>
    <w:rsid w:val="003D7957"/>
    <w:rsid w:val="003F40D4"/>
    <w:rsid w:val="003F55AA"/>
    <w:rsid w:val="003F74FA"/>
    <w:rsid w:val="004044AA"/>
    <w:rsid w:val="004344DD"/>
    <w:rsid w:val="00442009"/>
    <w:rsid w:val="004C06C7"/>
    <w:rsid w:val="004E739E"/>
    <w:rsid w:val="00521222"/>
    <w:rsid w:val="00525530"/>
    <w:rsid w:val="0053358B"/>
    <w:rsid w:val="0054509E"/>
    <w:rsid w:val="00571217"/>
    <w:rsid w:val="00577240"/>
    <w:rsid w:val="00590684"/>
    <w:rsid w:val="00594CCC"/>
    <w:rsid w:val="005C2630"/>
    <w:rsid w:val="005D584B"/>
    <w:rsid w:val="00661370"/>
    <w:rsid w:val="00662803"/>
    <w:rsid w:val="00665983"/>
    <w:rsid w:val="00673E0D"/>
    <w:rsid w:val="0067562C"/>
    <w:rsid w:val="006B1502"/>
    <w:rsid w:val="006C6356"/>
    <w:rsid w:val="006E4F32"/>
    <w:rsid w:val="006E7FB1"/>
    <w:rsid w:val="00706E07"/>
    <w:rsid w:val="00741B9E"/>
    <w:rsid w:val="0076124C"/>
    <w:rsid w:val="00762396"/>
    <w:rsid w:val="00764C82"/>
    <w:rsid w:val="007871E2"/>
    <w:rsid w:val="00790722"/>
    <w:rsid w:val="0079136F"/>
    <w:rsid w:val="007931D5"/>
    <w:rsid w:val="007B71EA"/>
    <w:rsid w:val="007B771E"/>
    <w:rsid w:val="007C08A3"/>
    <w:rsid w:val="007C2F04"/>
    <w:rsid w:val="007D4E0D"/>
    <w:rsid w:val="00832203"/>
    <w:rsid w:val="00856731"/>
    <w:rsid w:val="008715A0"/>
    <w:rsid w:val="0089493A"/>
    <w:rsid w:val="00895D25"/>
    <w:rsid w:val="008A27FF"/>
    <w:rsid w:val="008B7623"/>
    <w:rsid w:val="008C32C4"/>
    <w:rsid w:val="00926F67"/>
    <w:rsid w:val="00946778"/>
    <w:rsid w:val="00953272"/>
    <w:rsid w:val="009B3AD9"/>
    <w:rsid w:val="009D3490"/>
    <w:rsid w:val="009D71E8"/>
    <w:rsid w:val="009F6F2F"/>
    <w:rsid w:val="00A1206F"/>
    <w:rsid w:val="00A24290"/>
    <w:rsid w:val="00A6263E"/>
    <w:rsid w:val="00A93725"/>
    <w:rsid w:val="00AA5EEE"/>
    <w:rsid w:val="00B002BB"/>
    <w:rsid w:val="00B068D8"/>
    <w:rsid w:val="00B1105F"/>
    <w:rsid w:val="00B232D9"/>
    <w:rsid w:val="00B516E2"/>
    <w:rsid w:val="00B528F3"/>
    <w:rsid w:val="00B87C9B"/>
    <w:rsid w:val="00B93DEE"/>
    <w:rsid w:val="00BA5D50"/>
    <w:rsid w:val="00BE1458"/>
    <w:rsid w:val="00BF58C5"/>
    <w:rsid w:val="00C0589C"/>
    <w:rsid w:val="00C159BC"/>
    <w:rsid w:val="00C21BBB"/>
    <w:rsid w:val="00C65FBA"/>
    <w:rsid w:val="00C82A4C"/>
    <w:rsid w:val="00C84502"/>
    <w:rsid w:val="00CB2C2B"/>
    <w:rsid w:val="00CC7820"/>
    <w:rsid w:val="00CD52D6"/>
    <w:rsid w:val="00CF4ED0"/>
    <w:rsid w:val="00D10196"/>
    <w:rsid w:val="00D23662"/>
    <w:rsid w:val="00D26198"/>
    <w:rsid w:val="00D33FE5"/>
    <w:rsid w:val="00D6241B"/>
    <w:rsid w:val="00D66989"/>
    <w:rsid w:val="00DB0976"/>
    <w:rsid w:val="00DE051B"/>
    <w:rsid w:val="00DF7308"/>
    <w:rsid w:val="00E14F67"/>
    <w:rsid w:val="00E317F9"/>
    <w:rsid w:val="00E37FC2"/>
    <w:rsid w:val="00E66558"/>
    <w:rsid w:val="00E67825"/>
    <w:rsid w:val="00E954CC"/>
    <w:rsid w:val="00EA0947"/>
    <w:rsid w:val="00EC3C32"/>
    <w:rsid w:val="00EC6D6A"/>
    <w:rsid w:val="00EE646B"/>
    <w:rsid w:val="00F148FF"/>
    <w:rsid w:val="00F34D6D"/>
    <w:rsid w:val="00F54738"/>
    <w:rsid w:val="00FB5816"/>
    <w:rsid w:val="00FC7759"/>
    <w:rsid w:val="0115CD11"/>
    <w:rsid w:val="01239630"/>
    <w:rsid w:val="0232703B"/>
    <w:rsid w:val="02C4D068"/>
    <w:rsid w:val="02ECA897"/>
    <w:rsid w:val="037E68AC"/>
    <w:rsid w:val="03CA5ACF"/>
    <w:rsid w:val="059885E4"/>
    <w:rsid w:val="05A2DE34"/>
    <w:rsid w:val="05FBC484"/>
    <w:rsid w:val="069D095E"/>
    <w:rsid w:val="07B5140B"/>
    <w:rsid w:val="081FA565"/>
    <w:rsid w:val="0825829F"/>
    <w:rsid w:val="0875E5AD"/>
    <w:rsid w:val="09BCDCAE"/>
    <w:rsid w:val="0A32B001"/>
    <w:rsid w:val="0ABB1411"/>
    <w:rsid w:val="0B6D8637"/>
    <w:rsid w:val="0BACBBA8"/>
    <w:rsid w:val="0BAD6F09"/>
    <w:rsid w:val="0C035DA8"/>
    <w:rsid w:val="0CA2AAE8"/>
    <w:rsid w:val="0D3F0BE7"/>
    <w:rsid w:val="0E317A12"/>
    <w:rsid w:val="1265E958"/>
    <w:rsid w:val="12B54444"/>
    <w:rsid w:val="12ED17A0"/>
    <w:rsid w:val="143E0F02"/>
    <w:rsid w:val="149B8499"/>
    <w:rsid w:val="17D71A5D"/>
    <w:rsid w:val="184F4BC7"/>
    <w:rsid w:val="1923903B"/>
    <w:rsid w:val="196EB69C"/>
    <w:rsid w:val="19A8CB06"/>
    <w:rsid w:val="19DC7D39"/>
    <w:rsid w:val="1A474AD2"/>
    <w:rsid w:val="1A7446EB"/>
    <w:rsid w:val="1ACA0430"/>
    <w:rsid w:val="1AEAA58A"/>
    <w:rsid w:val="1B5095C3"/>
    <w:rsid w:val="1B717404"/>
    <w:rsid w:val="1B762611"/>
    <w:rsid w:val="1B85CE41"/>
    <w:rsid w:val="1BEBCC2F"/>
    <w:rsid w:val="1C8BF10B"/>
    <w:rsid w:val="1CFBB234"/>
    <w:rsid w:val="1D5CE7DB"/>
    <w:rsid w:val="1DDAF2B9"/>
    <w:rsid w:val="1F829439"/>
    <w:rsid w:val="1F8A269F"/>
    <w:rsid w:val="20E40061"/>
    <w:rsid w:val="2158409E"/>
    <w:rsid w:val="21676B09"/>
    <w:rsid w:val="21E0B588"/>
    <w:rsid w:val="227825B9"/>
    <w:rsid w:val="23622E9C"/>
    <w:rsid w:val="237C85E9"/>
    <w:rsid w:val="23A90E8E"/>
    <w:rsid w:val="24E5F40D"/>
    <w:rsid w:val="2518E150"/>
    <w:rsid w:val="261A818D"/>
    <w:rsid w:val="26B426AB"/>
    <w:rsid w:val="2888B517"/>
    <w:rsid w:val="28B68F0E"/>
    <w:rsid w:val="2901CB18"/>
    <w:rsid w:val="2A80FA3D"/>
    <w:rsid w:val="2AB10CAE"/>
    <w:rsid w:val="2AD8C293"/>
    <w:rsid w:val="2B6E6F71"/>
    <w:rsid w:val="2BAAA4F4"/>
    <w:rsid w:val="2CC4F5B1"/>
    <w:rsid w:val="2E851176"/>
    <w:rsid w:val="2F377C3D"/>
    <w:rsid w:val="300EAFC2"/>
    <w:rsid w:val="309AAB5F"/>
    <w:rsid w:val="30BC5908"/>
    <w:rsid w:val="30CBE14F"/>
    <w:rsid w:val="30CEF5A0"/>
    <w:rsid w:val="324DBA64"/>
    <w:rsid w:val="33202E23"/>
    <w:rsid w:val="33F97ED8"/>
    <w:rsid w:val="34134648"/>
    <w:rsid w:val="36C2BBE7"/>
    <w:rsid w:val="36E407FD"/>
    <w:rsid w:val="374146F1"/>
    <w:rsid w:val="37881CB6"/>
    <w:rsid w:val="380896EA"/>
    <w:rsid w:val="39B9268B"/>
    <w:rsid w:val="39D1FF7A"/>
    <w:rsid w:val="3A4305BF"/>
    <w:rsid w:val="3B8851E1"/>
    <w:rsid w:val="3BFF0BAF"/>
    <w:rsid w:val="3CC33E79"/>
    <w:rsid w:val="3D125DB5"/>
    <w:rsid w:val="3D817E69"/>
    <w:rsid w:val="3D9ADC10"/>
    <w:rsid w:val="3DCF729B"/>
    <w:rsid w:val="3E784DB8"/>
    <w:rsid w:val="3F6788C2"/>
    <w:rsid w:val="400CC9B6"/>
    <w:rsid w:val="40DB0F92"/>
    <w:rsid w:val="427A9658"/>
    <w:rsid w:val="42FB44E9"/>
    <w:rsid w:val="4363E2AB"/>
    <w:rsid w:val="43AABC62"/>
    <w:rsid w:val="43C38EE3"/>
    <w:rsid w:val="440B16A5"/>
    <w:rsid w:val="443EA14B"/>
    <w:rsid w:val="4484888C"/>
    <w:rsid w:val="47805847"/>
    <w:rsid w:val="48E57C3D"/>
    <w:rsid w:val="4906E605"/>
    <w:rsid w:val="493F3E31"/>
    <w:rsid w:val="4991370F"/>
    <w:rsid w:val="4AE20C5A"/>
    <w:rsid w:val="4BAC39B2"/>
    <w:rsid w:val="4BC5CB8B"/>
    <w:rsid w:val="4CE9A53D"/>
    <w:rsid w:val="4E085CD6"/>
    <w:rsid w:val="50A0B550"/>
    <w:rsid w:val="5129B9E3"/>
    <w:rsid w:val="514C8164"/>
    <w:rsid w:val="5226C28C"/>
    <w:rsid w:val="5241F263"/>
    <w:rsid w:val="538E60BF"/>
    <w:rsid w:val="54122DB5"/>
    <w:rsid w:val="55C3FF45"/>
    <w:rsid w:val="561FF287"/>
    <w:rsid w:val="56242167"/>
    <w:rsid w:val="56FF247D"/>
    <w:rsid w:val="570FF6D4"/>
    <w:rsid w:val="57C55E7A"/>
    <w:rsid w:val="595E2D8E"/>
    <w:rsid w:val="59C88999"/>
    <w:rsid w:val="59EC9C6A"/>
    <w:rsid w:val="5A041791"/>
    <w:rsid w:val="5A1CC4C4"/>
    <w:rsid w:val="5A363D6B"/>
    <w:rsid w:val="5A479796"/>
    <w:rsid w:val="5AA31A98"/>
    <w:rsid w:val="5AA32D4E"/>
    <w:rsid w:val="5B346619"/>
    <w:rsid w:val="5BDDBC85"/>
    <w:rsid w:val="5BE6BDE5"/>
    <w:rsid w:val="5CCDDCB7"/>
    <w:rsid w:val="5D6E9B1B"/>
    <w:rsid w:val="5DB1DB97"/>
    <w:rsid w:val="5EA504D8"/>
    <w:rsid w:val="5F09D404"/>
    <w:rsid w:val="60B627A2"/>
    <w:rsid w:val="614E7829"/>
    <w:rsid w:val="62245107"/>
    <w:rsid w:val="6240D682"/>
    <w:rsid w:val="6280F14C"/>
    <w:rsid w:val="64994279"/>
    <w:rsid w:val="650FEAA3"/>
    <w:rsid w:val="657982EE"/>
    <w:rsid w:val="65FE36EC"/>
    <w:rsid w:val="669B9548"/>
    <w:rsid w:val="66B4BDA5"/>
    <w:rsid w:val="66BB245B"/>
    <w:rsid w:val="673A6AE3"/>
    <w:rsid w:val="67D9D438"/>
    <w:rsid w:val="681C1662"/>
    <w:rsid w:val="69356DAE"/>
    <w:rsid w:val="69496C25"/>
    <w:rsid w:val="6A4C8089"/>
    <w:rsid w:val="6B6F066B"/>
    <w:rsid w:val="6BAFD7F4"/>
    <w:rsid w:val="6BDD6A31"/>
    <w:rsid w:val="6C3829BC"/>
    <w:rsid w:val="6C98E978"/>
    <w:rsid w:val="6E121CCD"/>
    <w:rsid w:val="6EA6A72D"/>
    <w:rsid w:val="6F56A221"/>
    <w:rsid w:val="6FC7FF1A"/>
    <w:rsid w:val="71D88C67"/>
    <w:rsid w:val="71FAAFD4"/>
    <w:rsid w:val="73099799"/>
    <w:rsid w:val="73BD5440"/>
    <w:rsid w:val="747D346E"/>
    <w:rsid w:val="7534EA11"/>
    <w:rsid w:val="7597BE50"/>
    <w:rsid w:val="75F6B57B"/>
    <w:rsid w:val="76174DD7"/>
    <w:rsid w:val="761C483C"/>
    <w:rsid w:val="7706AB1F"/>
    <w:rsid w:val="78EBFBDB"/>
    <w:rsid w:val="79314625"/>
    <w:rsid w:val="7953E8FE"/>
    <w:rsid w:val="798AF6DC"/>
    <w:rsid w:val="7B8B33FE"/>
    <w:rsid w:val="7B8DBCF5"/>
    <w:rsid w:val="7BAA0125"/>
    <w:rsid w:val="7BFE74B4"/>
    <w:rsid w:val="7C26639A"/>
    <w:rsid w:val="7D3DE2EC"/>
    <w:rsid w:val="7D9D0190"/>
    <w:rsid w:val="7DAADB17"/>
    <w:rsid w:val="7DF9741E"/>
    <w:rsid w:val="7E2922F1"/>
    <w:rsid w:val="7EE0ED91"/>
    <w:rsid w:val="7FC0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32203"/>
  </w:style>
  <w:style w:type="character" w:customStyle="1" w:styleId="eop">
    <w:name w:val="eop"/>
    <w:basedOn w:val="DefaultParagraphFont"/>
    <w:rsid w:val="00832203"/>
  </w:style>
  <w:style w:type="paragraph" w:customStyle="1" w:styleId="paragraph">
    <w:name w:val="paragraph"/>
    <w:basedOn w:val="Normal"/>
    <w:rsid w:val="003F55AA"/>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533">
      <w:bodyDiv w:val="1"/>
      <w:marLeft w:val="0"/>
      <w:marRight w:val="0"/>
      <w:marTop w:val="0"/>
      <w:marBottom w:val="0"/>
      <w:divBdr>
        <w:top w:val="none" w:sz="0" w:space="0" w:color="auto"/>
        <w:left w:val="none" w:sz="0" w:space="0" w:color="auto"/>
        <w:bottom w:val="none" w:sz="0" w:space="0" w:color="auto"/>
        <w:right w:val="none" w:sz="0" w:space="0" w:color="auto"/>
      </w:divBdr>
      <w:divsChild>
        <w:div w:id="1786463523">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7221647">
          <w:marLeft w:val="0"/>
          <w:marRight w:val="0"/>
          <w:marTop w:val="0"/>
          <w:marBottom w:val="0"/>
          <w:divBdr>
            <w:top w:val="none" w:sz="0" w:space="0" w:color="auto"/>
            <w:left w:val="none" w:sz="0" w:space="0" w:color="auto"/>
            <w:bottom w:val="none" w:sz="0" w:space="0" w:color="auto"/>
            <w:right w:val="none" w:sz="0" w:space="0" w:color="auto"/>
          </w:divBdr>
        </w:div>
        <w:div w:id="1582136058">
          <w:marLeft w:val="0"/>
          <w:marRight w:val="0"/>
          <w:marTop w:val="0"/>
          <w:marBottom w:val="0"/>
          <w:divBdr>
            <w:top w:val="none" w:sz="0" w:space="0" w:color="auto"/>
            <w:left w:val="none" w:sz="0" w:space="0" w:color="auto"/>
            <w:bottom w:val="none" w:sz="0" w:space="0" w:color="auto"/>
            <w:right w:val="none" w:sz="0" w:space="0" w:color="auto"/>
          </w:divBdr>
        </w:div>
      </w:divsChild>
    </w:div>
    <w:div w:id="1232929367">
      <w:bodyDiv w:val="1"/>
      <w:marLeft w:val="0"/>
      <w:marRight w:val="0"/>
      <w:marTop w:val="0"/>
      <w:marBottom w:val="0"/>
      <w:divBdr>
        <w:top w:val="none" w:sz="0" w:space="0" w:color="auto"/>
        <w:left w:val="none" w:sz="0" w:space="0" w:color="auto"/>
        <w:bottom w:val="none" w:sz="0" w:space="0" w:color="auto"/>
        <w:right w:val="none" w:sz="0" w:space="0" w:color="auto"/>
      </w:divBdr>
      <w:divsChild>
        <w:div w:id="1411341866">
          <w:marLeft w:val="0"/>
          <w:marRight w:val="0"/>
          <w:marTop w:val="0"/>
          <w:marBottom w:val="0"/>
          <w:divBdr>
            <w:top w:val="none" w:sz="0" w:space="0" w:color="auto"/>
            <w:left w:val="none" w:sz="0" w:space="0" w:color="auto"/>
            <w:bottom w:val="none" w:sz="0" w:space="0" w:color="auto"/>
            <w:right w:val="none" w:sz="0" w:space="0" w:color="auto"/>
          </w:divBdr>
        </w:div>
        <w:div w:id="211819227">
          <w:marLeft w:val="0"/>
          <w:marRight w:val="0"/>
          <w:marTop w:val="0"/>
          <w:marBottom w:val="0"/>
          <w:divBdr>
            <w:top w:val="none" w:sz="0" w:space="0" w:color="auto"/>
            <w:left w:val="none" w:sz="0" w:space="0" w:color="auto"/>
            <w:bottom w:val="none" w:sz="0" w:space="0" w:color="auto"/>
            <w:right w:val="none" w:sz="0" w:space="0" w:color="auto"/>
          </w:divBdr>
        </w:div>
        <w:div w:id="1704397757">
          <w:marLeft w:val="0"/>
          <w:marRight w:val="0"/>
          <w:marTop w:val="0"/>
          <w:marBottom w:val="0"/>
          <w:divBdr>
            <w:top w:val="none" w:sz="0" w:space="0" w:color="auto"/>
            <w:left w:val="none" w:sz="0" w:space="0" w:color="auto"/>
            <w:bottom w:val="none" w:sz="0" w:space="0" w:color="auto"/>
            <w:right w:val="none" w:sz="0" w:space="0" w:color="auto"/>
          </w:divBdr>
        </w:div>
        <w:div w:id="1741515699">
          <w:marLeft w:val="0"/>
          <w:marRight w:val="0"/>
          <w:marTop w:val="0"/>
          <w:marBottom w:val="0"/>
          <w:divBdr>
            <w:top w:val="none" w:sz="0" w:space="0" w:color="auto"/>
            <w:left w:val="none" w:sz="0" w:space="0" w:color="auto"/>
            <w:bottom w:val="none" w:sz="0" w:space="0" w:color="auto"/>
            <w:right w:val="none" w:sz="0" w:space="0" w:color="auto"/>
          </w:divBdr>
        </w:div>
      </w:divsChild>
    </w:div>
    <w:div w:id="1734155862">
      <w:bodyDiv w:val="1"/>
      <w:marLeft w:val="0"/>
      <w:marRight w:val="0"/>
      <w:marTop w:val="0"/>
      <w:marBottom w:val="0"/>
      <w:divBdr>
        <w:top w:val="none" w:sz="0" w:space="0" w:color="auto"/>
        <w:left w:val="none" w:sz="0" w:space="0" w:color="auto"/>
        <w:bottom w:val="none" w:sz="0" w:space="0" w:color="auto"/>
        <w:right w:val="none" w:sz="0" w:space="0" w:color="auto"/>
      </w:divBdr>
      <w:divsChild>
        <w:div w:id="235751319">
          <w:marLeft w:val="0"/>
          <w:marRight w:val="0"/>
          <w:marTop w:val="0"/>
          <w:marBottom w:val="0"/>
          <w:divBdr>
            <w:top w:val="none" w:sz="0" w:space="0" w:color="auto"/>
            <w:left w:val="none" w:sz="0" w:space="0" w:color="auto"/>
            <w:bottom w:val="none" w:sz="0" w:space="0" w:color="auto"/>
            <w:right w:val="none" w:sz="0" w:space="0" w:color="auto"/>
          </w:divBdr>
          <w:divsChild>
            <w:div w:id="542837204">
              <w:marLeft w:val="0"/>
              <w:marRight w:val="0"/>
              <w:marTop w:val="0"/>
              <w:marBottom w:val="0"/>
              <w:divBdr>
                <w:top w:val="none" w:sz="0" w:space="0" w:color="auto"/>
                <w:left w:val="none" w:sz="0" w:space="0" w:color="auto"/>
                <w:bottom w:val="none" w:sz="0" w:space="0" w:color="auto"/>
                <w:right w:val="none" w:sz="0" w:space="0" w:color="auto"/>
              </w:divBdr>
            </w:div>
          </w:divsChild>
        </w:div>
        <w:div w:id="803474836">
          <w:marLeft w:val="0"/>
          <w:marRight w:val="0"/>
          <w:marTop w:val="0"/>
          <w:marBottom w:val="0"/>
          <w:divBdr>
            <w:top w:val="none" w:sz="0" w:space="0" w:color="auto"/>
            <w:left w:val="none" w:sz="0" w:space="0" w:color="auto"/>
            <w:bottom w:val="none" w:sz="0" w:space="0" w:color="auto"/>
            <w:right w:val="none" w:sz="0" w:space="0" w:color="auto"/>
          </w:divBdr>
          <w:divsChild>
            <w:div w:id="319119421">
              <w:marLeft w:val="0"/>
              <w:marRight w:val="0"/>
              <w:marTop w:val="0"/>
              <w:marBottom w:val="0"/>
              <w:divBdr>
                <w:top w:val="none" w:sz="0" w:space="0" w:color="auto"/>
                <w:left w:val="none" w:sz="0" w:space="0" w:color="auto"/>
                <w:bottom w:val="none" w:sz="0" w:space="0" w:color="auto"/>
                <w:right w:val="none" w:sz="0" w:space="0" w:color="auto"/>
              </w:divBdr>
            </w:div>
          </w:divsChild>
        </w:div>
        <w:div w:id="1747650497">
          <w:marLeft w:val="0"/>
          <w:marRight w:val="0"/>
          <w:marTop w:val="0"/>
          <w:marBottom w:val="0"/>
          <w:divBdr>
            <w:top w:val="none" w:sz="0" w:space="0" w:color="auto"/>
            <w:left w:val="none" w:sz="0" w:space="0" w:color="auto"/>
            <w:bottom w:val="none" w:sz="0" w:space="0" w:color="auto"/>
            <w:right w:val="none" w:sz="0" w:space="0" w:color="auto"/>
          </w:divBdr>
          <w:divsChild>
            <w:div w:id="1850943003">
              <w:marLeft w:val="0"/>
              <w:marRight w:val="0"/>
              <w:marTop w:val="0"/>
              <w:marBottom w:val="0"/>
              <w:divBdr>
                <w:top w:val="none" w:sz="0" w:space="0" w:color="auto"/>
                <w:left w:val="none" w:sz="0" w:space="0" w:color="auto"/>
                <w:bottom w:val="none" w:sz="0" w:space="0" w:color="auto"/>
                <w:right w:val="none" w:sz="0" w:space="0" w:color="auto"/>
              </w:divBdr>
            </w:div>
          </w:divsChild>
        </w:div>
        <w:div w:id="328946377">
          <w:marLeft w:val="0"/>
          <w:marRight w:val="0"/>
          <w:marTop w:val="0"/>
          <w:marBottom w:val="0"/>
          <w:divBdr>
            <w:top w:val="none" w:sz="0" w:space="0" w:color="auto"/>
            <w:left w:val="none" w:sz="0" w:space="0" w:color="auto"/>
            <w:bottom w:val="none" w:sz="0" w:space="0" w:color="auto"/>
            <w:right w:val="none" w:sz="0" w:space="0" w:color="auto"/>
          </w:divBdr>
          <w:divsChild>
            <w:div w:id="30230737">
              <w:marLeft w:val="0"/>
              <w:marRight w:val="0"/>
              <w:marTop w:val="0"/>
              <w:marBottom w:val="0"/>
              <w:divBdr>
                <w:top w:val="none" w:sz="0" w:space="0" w:color="auto"/>
                <w:left w:val="none" w:sz="0" w:space="0" w:color="auto"/>
                <w:bottom w:val="none" w:sz="0" w:space="0" w:color="auto"/>
                <w:right w:val="none" w:sz="0" w:space="0" w:color="auto"/>
              </w:divBdr>
            </w:div>
          </w:divsChild>
        </w:div>
        <w:div w:id="1595475659">
          <w:marLeft w:val="0"/>
          <w:marRight w:val="0"/>
          <w:marTop w:val="0"/>
          <w:marBottom w:val="0"/>
          <w:divBdr>
            <w:top w:val="none" w:sz="0" w:space="0" w:color="auto"/>
            <w:left w:val="none" w:sz="0" w:space="0" w:color="auto"/>
            <w:bottom w:val="none" w:sz="0" w:space="0" w:color="auto"/>
            <w:right w:val="none" w:sz="0" w:space="0" w:color="auto"/>
          </w:divBdr>
          <w:divsChild>
            <w:div w:id="401685274">
              <w:marLeft w:val="0"/>
              <w:marRight w:val="0"/>
              <w:marTop w:val="0"/>
              <w:marBottom w:val="0"/>
              <w:divBdr>
                <w:top w:val="none" w:sz="0" w:space="0" w:color="auto"/>
                <w:left w:val="none" w:sz="0" w:space="0" w:color="auto"/>
                <w:bottom w:val="none" w:sz="0" w:space="0" w:color="auto"/>
                <w:right w:val="none" w:sz="0" w:space="0" w:color="auto"/>
              </w:divBdr>
            </w:div>
          </w:divsChild>
        </w:div>
        <w:div w:id="1544251127">
          <w:marLeft w:val="0"/>
          <w:marRight w:val="0"/>
          <w:marTop w:val="0"/>
          <w:marBottom w:val="0"/>
          <w:divBdr>
            <w:top w:val="none" w:sz="0" w:space="0" w:color="auto"/>
            <w:left w:val="none" w:sz="0" w:space="0" w:color="auto"/>
            <w:bottom w:val="none" w:sz="0" w:space="0" w:color="auto"/>
            <w:right w:val="none" w:sz="0" w:space="0" w:color="auto"/>
          </w:divBdr>
          <w:divsChild>
            <w:div w:id="301421329">
              <w:marLeft w:val="0"/>
              <w:marRight w:val="0"/>
              <w:marTop w:val="0"/>
              <w:marBottom w:val="0"/>
              <w:divBdr>
                <w:top w:val="none" w:sz="0" w:space="0" w:color="auto"/>
                <w:left w:val="none" w:sz="0" w:space="0" w:color="auto"/>
                <w:bottom w:val="none" w:sz="0" w:space="0" w:color="auto"/>
                <w:right w:val="none" w:sz="0" w:space="0" w:color="auto"/>
              </w:divBdr>
            </w:div>
          </w:divsChild>
        </w:div>
        <w:div w:id="2089695570">
          <w:marLeft w:val="0"/>
          <w:marRight w:val="0"/>
          <w:marTop w:val="0"/>
          <w:marBottom w:val="0"/>
          <w:divBdr>
            <w:top w:val="none" w:sz="0" w:space="0" w:color="auto"/>
            <w:left w:val="none" w:sz="0" w:space="0" w:color="auto"/>
            <w:bottom w:val="none" w:sz="0" w:space="0" w:color="auto"/>
            <w:right w:val="none" w:sz="0" w:space="0" w:color="auto"/>
          </w:divBdr>
          <w:divsChild>
            <w:div w:id="935750069">
              <w:marLeft w:val="0"/>
              <w:marRight w:val="0"/>
              <w:marTop w:val="0"/>
              <w:marBottom w:val="0"/>
              <w:divBdr>
                <w:top w:val="none" w:sz="0" w:space="0" w:color="auto"/>
                <w:left w:val="none" w:sz="0" w:space="0" w:color="auto"/>
                <w:bottom w:val="none" w:sz="0" w:space="0" w:color="auto"/>
                <w:right w:val="none" w:sz="0" w:space="0" w:color="auto"/>
              </w:divBdr>
            </w:div>
          </w:divsChild>
        </w:div>
        <w:div w:id="842554924">
          <w:marLeft w:val="0"/>
          <w:marRight w:val="0"/>
          <w:marTop w:val="0"/>
          <w:marBottom w:val="0"/>
          <w:divBdr>
            <w:top w:val="none" w:sz="0" w:space="0" w:color="auto"/>
            <w:left w:val="none" w:sz="0" w:space="0" w:color="auto"/>
            <w:bottom w:val="none" w:sz="0" w:space="0" w:color="auto"/>
            <w:right w:val="none" w:sz="0" w:space="0" w:color="auto"/>
          </w:divBdr>
          <w:divsChild>
            <w:div w:id="145366196">
              <w:marLeft w:val="0"/>
              <w:marRight w:val="0"/>
              <w:marTop w:val="0"/>
              <w:marBottom w:val="0"/>
              <w:divBdr>
                <w:top w:val="none" w:sz="0" w:space="0" w:color="auto"/>
                <w:left w:val="none" w:sz="0" w:space="0" w:color="auto"/>
                <w:bottom w:val="none" w:sz="0" w:space="0" w:color="auto"/>
                <w:right w:val="none" w:sz="0" w:space="0" w:color="auto"/>
              </w:divBdr>
            </w:div>
          </w:divsChild>
        </w:div>
        <w:div w:id="636255897">
          <w:marLeft w:val="0"/>
          <w:marRight w:val="0"/>
          <w:marTop w:val="0"/>
          <w:marBottom w:val="0"/>
          <w:divBdr>
            <w:top w:val="none" w:sz="0" w:space="0" w:color="auto"/>
            <w:left w:val="none" w:sz="0" w:space="0" w:color="auto"/>
            <w:bottom w:val="none" w:sz="0" w:space="0" w:color="auto"/>
            <w:right w:val="none" w:sz="0" w:space="0" w:color="auto"/>
          </w:divBdr>
          <w:divsChild>
            <w:div w:id="1871646191">
              <w:marLeft w:val="0"/>
              <w:marRight w:val="0"/>
              <w:marTop w:val="0"/>
              <w:marBottom w:val="0"/>
              <w:divBdr>
                <w:top w:val="none" w:sz="0" w:space="0" w:color="auto"/>
                <w:left w:val="none" w:sz="0" w:space="0" w:color="auto"/>
                <w:bottom w:val="none" w:sz="0" w:space="0" w:color="auto"/>
                <w:right w:val="none" w:sz="0" w:space="0" w:color="auto"/>
              </w:divBdr>
            </w:div>
          </w:divsChild>
        </w:div>
        <w:div w:id="141774232">
          <w:marLeft w:val="0"/>
          <w:marRight w:val="0"/>
          <w:marTop w:val="0"/>
          <w:marBottom w:val="0"/>
          <w:divBdr>
            <w:top w:val="none" w:sz="0" w:space="0" w:color="auto"/>
            <w:left w:val="none" w:sz="0" w:space="0" w:color="auto"/>
            <w:bottom w:val="none" w:sz="0" w:space="0" w:color="auto"/>
            <w:right w:val="none" w:sz="0" w:space="0" w:color="auto"/>
          </w:divBdr>
          <w:divsChild>
            <w:div w:id="17115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attendance/framework-for-securing-full-attendance-actions-for-schools-and-local-author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ucationendowmentfoundation.org.uk/public/files/Publications/Behaviour/EEF_Improving_behaviour_in_schools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0D04128-F941-489A-9697-331926ED375B}">
    <t:Anchor>
      <t:Comment id="765948084"/>
    </t:Anchor>
    <t:History>
      <t:Event id="{79D89350-F35A-4C51-9090-9D1A7683CD43}" time="2021-11-01T09:44:20.004Z">
        <t:Attribution userId="S::ebone@lapsw.org::272c785a-3254-4fab-b09d-db03e34fa9a1" userProvider="AD" userName="Emma Bone"/>
        <t:Anchor>
          <t:Comment id="765948084"/>
        </t:Anchor>
        <t:Create/>
      </t:Event>
      <t:Event id="{942716B9-138B-4A00-9E3F-E2193A6B9EB4}" time="2021-11-01T09:44:20.004Z">
        <t:Attribution userId="S::ebone@lapsw.org::272c785a-3254-4fab-b09d-db03e34fa9a1" userProvider="AD" userName="Emma Bone"/>
        <t:Anchor>
          <t:Comment id="765948084"/>
        </t:Anchor>
        <t:Assign userId="S::ECLARK@lapsw.org::26fcb89f-a0f2-4652-be05-ffafa2fe66c8" userProvider="AD" userName="Emma Clark"/>
      </t:Event>
      <t:Event id="{18F9A9F7-C3C1-48C1-B9D0-7358F3C92EF6}" time="2021-11-01T09:44:20.004Z">
        <t:Attribution userId="S::ebone@lapsw.org::272c785a-3254-4fab-b09d-db03e34fa9a1" userProvider="AD" userName="Emma Bone"/>
        <t:Anchor>
          <t:Comment id="765948084"/>
        </t:Anchor>
        <t:SetTitle title="@Emma Clark Maths already in there!"/>
      </t:Event>
      <t:Event id="{9FBBBFC6-2210-489A-A5A4-00631AB610E4}" time="2021-11-01T17:11:09.261Z">
        <t:Attribution userId="S::eclark@lapsw.org::26fcb89f-a0f2-4652-be05-ffafa2fe66c8" userProvider="AD" userName="Emma Clar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F4ED5E7803D409D5EB99291DF4623" ma:contentTypeVersion="18" ma:contentTypeDescription="Create a new document." ma:contentTypeScope="" ma:versionID="1227a7afdb5dd88142b5eb3cafa96903">
  <xsd:schema xmlns:xsd="http://www.w3.org/2001/XMLSchema" xmlns:xs="http://www.w3.org/2001/XMLSchema" xmlns:p="http://schemas.microsoft.com/office/2006/metadata/properties" xmlns:ns2="5a6d5eaf-f3d7-48a9-924a-99f93f2c076a" xmlns:ns3="c527ce65-7976-4134-932c-f7a371230510" targetNamespace="http://schemas.microsoft.com/office/2006/metadata/properties" ma:root="true" ma:fieldsID="5d2f20bbbf602da437cffde18893b324" ns2:_="" ns3:_="">
    <xsd:import namespace="5a6d5eaf-f3d7-48a9-924a-99f93f2c076a"/>
    <xsd:import namespace="c527ce65-7976-4134-932c-f7a3712305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5eaf-f3d7-48a9-924a-99f93f2c0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8333fd-462c-4a3b-9e30-7a9303b860ec}" ma:internalName="TaxCatchAll" ma:showField="CatchAllData" ma:web="5a6d5eaf-f3d7-48a9-924a-99f93f2c07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27ce65-7976-4134-932c-f7a3712305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6d5eaf-f3d7-48a9-924a-99f93f2c076a">
      <UserInfo>
        <DisplayName>Emma Bone</DisplayName>
        <AccountId>14</AccountId>
        <AccountType/>
      </UserInfo>
      <UserInfo>
        <DisplayName>Tracey Cleverly</DisplayName>
        <AccountId>11</AccountId>
        <AccountType/>
      </UserInfo>
      <UserInfo>
        <DisplayName>Emma Clark</DisplayName>
        <AccountId>7</AccountId>
        <AccountType/>
      </UserInfo>
    </SharedWithUsers>
    <TaxCatchAll xmlns="5a6d5eaf-f3d7-48a9-924a-99f93f2c076a" xsi:nil="true"/>
    <lcf76f155ced4ddcb4097134ff3c332f xmlns="c527ce65-7976-4134-932c-f7a371230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35AFDB-327F-45FB-94FA-4C66924A95DE}">
  <ds:schemaRefs>
    <ds:schemaRef ds:uri="http://schemas.microsoft.com/sharepoint/v3/contenttype/forms"/>
  </ds:schemaRefs>
</ds:datastoreItem>
</file>

<file path=customXml/itemProps2.xml><?xml version="1.0" encoding="utf-8"?>
<ds:datastoreItem xmlns:ds="http://schemas.openxmlformats.org/officeDocument/2006/customXml" ds:itemID="{B2B25445-19B3-4A2D-BD41-69129562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5eaf-f3d7-48a9-924a-99f93f2c076a"/>
    <ds:schemaRef ds:uri="c527ce65-7976-4134-932c-f7a371230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FFCB0-203E-4C55-BB9A-10827BE5F02D}">
  <ds:schemaRefs>
    <ds:schemaRef ds:uri="http://schemas.microsoft.com/office/2006/metadata/properties"/>
    <ds:schemaRef ds:uri="http://schemas.microsoft.com/office/infopath/2007/PartnerControls"/>
    <ds:schemaRef ds:uri="5a6d5eaf-f3d7-48a9-924a-99f93f2c076a"/>
    <ds:schemaRef ds:uri="c527ce65-7976-4134-932c-f7a371230510"/>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Julie Edwards</cp:lastModifiedBy>
  <cp:revision>35</cp:revision>
  <cp:lastPrinted>2024-09-17T08:26:00Z</cp:lastPrinted>
  <dcterms:created xsi:type="dcterms:W3CDTF">2025-01-04T09:23:00Z</dcterms:created>
  <dcterms:modified xsi:type="dcterms:W3CDTF">2025-01-04T10:10:00Z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0x01010034AF4ED5E7803D409D5EB99291DF4623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